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DF2" w:rsidRDefault="00014DF2">
      <w:bookmarkStart w:id="0" w:name="_GoBack"/>
      <w:bookmarkEnd w:id="0"/>
    </w:p>
    <w:p w:rsidR="00014DF2" w:rsidRDefault="00014DF2"/>
    <w:p w:rsidR="00014DF2" w:rsidRDefault="00014DF2">
      <w:pPr>
        <w:jc w:val="center"/>
        <w:rPr>
          <w:sz w:val="24"/>
          <w:szCs w:val="24"/>
        </w:rPr>
      </w:pPr>
    </w:p>
    <w:p w:rsidR="00014DF2" w:rsidRDefault="00014DF2">
      <w:pPr>
        <w:jc w:val="center"/>
        <w:rPr>
          <w:sz w:val="24"/>
          <w:szCs w:val="24"/>
        </w:rPr>
      </w:pPr>
    </w:p>
    <w:p w:rsidR="00014DF2" w:rsidRDefault="008B4B57">
      <w:pPr>
        <w:jc w:val="center"/>
        <w:rPr>
          <w:sz w:val="24"/>
          <w:szCs w:val="24"/>
        </w:rPr>
      </w:pPr>
      <w:r>
        <w:rPr>
          <w:sz w:val="24"/>
          <w:szCs w:val="24"/>
        </w:rPr>
        <w:t>“Eliminating Social Exclusion” (EliSE)</w:t>
      </w:r>
    </w:p>
    <w:p w:rsidR="00014DF2" w:rsidRDefault="008B4B57">
      <w:pPr>
        <w:jc w:val="center"/>
        <w:rPr>
          <w:sz w:val="24"/>
          <w:szCs w:val="24"/>
        </w:rPr>
      </w:pPr>
      <w:r>
        <w:rPr>
          <w:sz w:val="24"/>
          <w:szCs w:val="24"/>
        </w:rPr>
        <w:t>Nr. 2019-1-LV01-KA204-060427</w:t>
      </w:r>
    </w:p>
    <w:p w:rsidR="00B363D4" w:rsidRPr="00B363D4" w:rsidRDefault="00B363D4" w:rsidP="00B363D4">
      <w:pPr>
        <w:rPr>
          <w:b/>
          <w:sz w:val="28"/>
          <w:szCs w:val="28"/>
        </w:rPr>
      </w:pPr>
      <w:r w:rsidRPr="00B363D4">
        <w:rPr>
          <w:b/>
          <w:sz w:val="28"/>
          <w:szCs w:val="28"/>
        </w:rPr>
        <w:t>Честно пътуване и социални бариери</w:t>
      </w:r>
    </w:p>
    <w:p w:rsidR="00B363D4" w:rsidRPr="001C26B5" w:rsidRDefault="00B363D4" w:rsidP="00B363D4">
      <w:pPr>
        <w:rPr>
          <w:sz w:val="24"/>
          <w:szCs w:val="24"/>
        </w:rPr>
      </w:pPr>
      <w:r w:rsidRPr="001C26B5">
        <w:rPr>
          <w:sz w:val="24"/>
          <w:szCs w:val="24"/>
        </w:rPr>
        <w:t>IO</w:t>
      </w:r>
      <w:r w:rsidRPr="00E11CAA">
        <w:rPr>
          <w:sz w:val="24"/>
          <w:szCs w:val="24"/>
          <w:lang w:val="ru-RU"/>
        </w:rPr>
        <w:t>4 има за цел да създаде интерактивен инструментариум („</w:t>
      </w:r>
      <w:r w:rsidRPr="001C26B5">
        <w:rPr>
          <w:sz w:val="24"/>
          <w:szCs w:val="24"/>
        </w:rPr>
        <w:t>Fair</w:t>
      </w:r>
      <w:r w:rsidRPr="00E11CAA">
        <w:rPr>
          <w:sz w:val="24"/>
          <w:szCs w:val="24"/>
          <w:lang w:val="ru-RU"/>
        </w:rPr>
        <w:t xml:space="preserve"> </w:t>
      </w:r>
      <w:proofErr w:type="gramStart"/>
      <w:r w:rsidRPr="001C26B5">
        <w:rPr>
          <w:sz w:val="24"/>
          <w:szCs w:val="24"/>
        </w:rPr>
        <w:t>Traveling</w:t>
      </w:r>
      <w:r w:rsidRPr="00E11CAA">
        <w:rPr>
          <w:sz w:val="24"/>
          <w:szCs w:val="24"/>
          <w:lang w:val="ru-RU"/>
        </w:rPr>
        <w:t>“ инструментариум</w:t>
      </w:r>
      <w:proofErr w:type="gramEnd"/>
      <w:r w:rsidRPr="00E11CAA">
        <w:rPr>
          <w:sz w:val="24"/>
          <w:szCs w:val="24"/>
          <w:lang w:val="ru-RU"/>
        </w:rPr>
        <w:t xml:space="preserve">) за подпомагане на семейства на деца със специални нужди, когато пътуват, както и социални педагози. </w:t>
      </w:r>
      <w:r w:rsidRPr="001C26B5">
        <w:rPr>
          <w:sz w:val="24"/>
          <w:szCs w:val="24"/>
        </w:rPr>
        <w:t>Основният резултат е Препоръки за:</w:t>
      </w:r>
    </w:p>
    <w:p w:rsidR="00B363D4" w:rsidRPr="001C26B5" w:rsidRDefault="00B363D4" w:rsidP="00B363D4">
      <w:pPr>
        <w:rPr>
          <w:sz w:val="24"/>
          <w:szCs w:val="24"/>
        </w:rPr>
      </w:pPr>
      <w:r w:rsidRPr="001C26B5">
        <w:rPr>
          <w:sz w:val="24"/>
          <w:szCs w:val="24"/>
        </w:rPr>
        <w:t>а) социални педагози;</w:t>
      </w:r>
    </w:p>
    <w:p w:rsidR="00B363D4" w:rsidRPr="001C26B5" w:rsidRDefault="00B363D4" w:rsidP="00B363D4">
      <w:pPr>
        <w:rPr>
          <w:sz w:val="24"/>
          <w:szCs w:val="24"/>
        </w:rPr>
      </w:pPr>
      <w:r w:rsidRPr="001C26B5">
        <w:rPr>
          <w:sz w:val="24"/>
          <w:szCs w:val="24"/>
        </w:rPr>
        <w:t>б) социални услуги;</w:t>
      </w:r>
    </w:p>
    <w:p w:rsidR="00B363D4" w:rsidRPr="001C26B5" w:rsidRDefault="00B363D4" w:rsidP="00B363D4">
      <w:pPr>
        <w:rPr>
          <w:sz w:val="24"/>
          <w:szCs w:val="24"/>
        </w:rPr>
      </w:pPr>
      <w:r w:rsidRPr="001C26B5">
        <w:rPr>
          <w:sz w:val="24"/>
          <w:szCs w:val="24"/>
        </w:rPr>
        <w:t>в) фирми, предоставящи туристически услуги.</w:t>
      </w:r>
    </w:p>
    <w:p w:rsidR="00B363D4" w:rsidRPr="001C26B5" w:rsidRDefault="00B363D4" w:rsidP="00B363D4">
      <w:pPr>
        <w:rPr>
          <w:sz w:val="24"/>
          <w:szCs w:val="24"/>
        </w:rPr>
      </w:pPr>
      <w:r w:rsidRPr="001C26B5">
        <w:rPr>
          <w:sz w:val="24"/>
          <w:szCs w:val="24"/>
        </w:rPr>
        <w:t>Интерактивният инструментариум се основава на трудностите, изследвани от IO1 за родителите за активно участие (собственото и на децата им) в социалния живот:</w:t>
      </w:r>
    </w:p>
    <w:p w:rsidR="00B363D4" w:rsidRPr="001C26B5" w:rsidRDefault="00B363D4" w:rsidP="00B363D4">
      <w:pPr>
        <w:rPr>
          <w:sz w:val="24"/>
          <w:szCs w:val="24"/>
        </w:rPr>
      </w:pPr>
      <w:r w:rsidRPr="001C26B5">
        <w:rPr>
          <w:sz w:val="24"/>
          <w:szCs w:val="24"/>
        </w:rPr>
        <w:t>1. Затруднена мобилност на детето и семейството</w:t>
      </w:r>
    </w:p>
    <w:p w:rsidR="00B363D4" w:rsidRPr="001C26B5" w:rsidRDefault="00B363D4" w:rsidP="00B363D4">
      <w:pPr>
        <w:rPr>
          <w:sz w:val="24"/>
          <w:szCs w:val="24"/>
        </w:rPr>
      </w:pPr>
      <w:r w:rsidRPr="001C26B5">
        <w:rPr>
          <w:sz w:val="24"/>
          <w:szCs w:val="24"/>
        </w:rPr>
        <w:t>2. Липса на достъпност в околната среда</w:t>
      </w:r>
    </w:p>
    <w:p w:rsidR="00B363D4" w:rsidRPr="001C26B5" w:rsidRDefault="00B363D4" w:rsidP="00B363D4">
      <w:pPr>
        <w:rPr>
          <w:sz w:val="24"/>
          <w:szCs w:val="24"/>
        </w:rPr>
      </w:pPr>
      <w:r w:rsidRPr="001C26B5">
        <w:rPr>
          <w:sz w:val="24"/>
          <w:szCs w:val="24"/>
        </w:rPr>
        <w:t>3. Проблеми с поведението на детето на обществени места</w:t>
      </w:r>
    </w:p>
    <w:p w:rsidR="00B363D4" w:rsidRPr="001C26B5" w:rsidRDefault="00B363D4" w:rsidP="00B363D4">
      <w:pPr>
        <w:rPr>
          <w:sz w:val="24"/>
          <w:szCs w:val="24"/>
        </w:rPr>
      </w:pPr>
      <w:r w:rsidRPr="001C26B5">
        <w:rPr>
          <w:sz w:val="24"/>
          <w:szCs w:val="24"/>
        </w:rPr>
        <w:t>4. Възприемане на негативна обществена реакция и липса на приемане от общността</w:t>
      </w:r>
    </w:p>
    <w:p w:rsidR="00B363D4" w:rsidRPr="001C26B5" w:rsidRDefault="00B363D4" w:rsidP="00B363D4">
      <w:pPr>
        <w:rPr>
          <w:sz w:val="24"/>
          <w:szCs w:val="24"/>
        </w:rPr>
      </w:pPr>
      <w:r w:rsidRPr="001C26B5">
        <w:rPr>
          <w:sz w:val="24"/>
          <w:szCs w:val="24"/>
        </w:rPr>
        <w:t>5. Безопасност на децата на обществени места</w:t>
      </w:r>
    </w:p>
    <w:p w:rsidR="00B363D4" w:rsidRDefault="00B363D4" w:rsidP="00B363D4">
      <w:r w:rsidRPr="00E11CAA">
        <w:rPr>
          <w:lang w:val="ru-RU"/>
        </w:rPr>
        <w:t>Напоследък нараства интересът към потенциала на технологиите за подпомагане на децата с разстройства от аутистичния спектър (</w:t>
      </w:r>
      <w:r>
        <w:t>ASD</w:t>
      </w:r>
      <w:r w:rsidRPr="00E11CAA">
        <w:rPr>
          <w:lang w:val="ru-RU"/>
        </w:rPr>
        <w:t xml:space="preserve">) със социални и житейски умения. Налице е също така нарастващ интерес към потенциалното използване на мобилни технологии в класната стая и към използването на такава технология за подпомагане на деца с </w:t>
      </w:r>
      <w:r>
        <w:t>ASD</w:t>
      </w:r>
      <w:r w:rsidRPr="00E11CAA">
        <w:rPr>
          <w:lang w:val="ru-RU"/>
        </w:rPr>
        <w:t xml:space="preserve">. Въз основа на тези разработки, проектът </w:t>
      </w:r>
      <w:r>
        <w:t>EliSE</w:t>
      </w:r>
      <w:r w:rsidRPr="00E11CAA">
        <w:rPr>
          <w:lang w:val="ru-RU"/>
        </w:rPr>
        <w:t xml:space="preserve"> разработи приложение за поддръжка на мобилен инструментариум за смартфони, базирано на принципите на убедителния технологичен дизайн, което подпомага децата с </w:t>
      </w:r>
      <w:r>
        <w:t>ASD</w:t>
      </w:r>
      <w:r w:rsidRPr="00E11CAA">
        <w:rPr>
          <w:lang w:val="ru-RU"/>
        </w:rPr>
        <w:t xml:space="preserve"> при функциониране на социални и житейски умения – области на способности, които са склонни да бъдат нарушени в тази популация . </w:t>
      </w:r>
      <w:r>
        <w:t xml:space="preserve">Данните бяха събрани с помощта на учители, използвайки директно наблюдение в класната стая, индивидуални полуструктурирани интервюта и въпросници. Полуструктурирани интервюта също бяха използвани за събиране на данни от някои родители и деца. идентифицират се и нови фактори, включително осъзнаването на учениците за трудностите и свързаната с тях мотивация за промяна, както и предпочитанието на някои деца с ASD да получават убедителни съобщения от мобилни устройства. Разглеждат се конкретни въпроси, свързани с когнитивната структура на децата с РАС. Предложени са допълнителни насоки за проектиране за бъдещи внедрявания на </w:t>
      </w:r>
      <w:r>
        <w:lastRenderedPageBreak/>
        <w:t>технологични инструменти с подобно предназначение. Осведоменост на учениците за трудностите и свързаната мотивация за промяна, както и предпочитанието на някои деца с ASD да получават убедителни съобщения от мобилни устройства. Наличието на ASD, следователно, води до много висок риск от маргинализация и социално изключване, като юношеството и ранната зряла възраст са особено критични периоди за хора с ASD. Те имат силно намален шанс да намерят адекватна работа (и работа изобщо), да управляват независим живот и да установят дългосрочни междуличностни отношения.</w:t>
      </w:r>
    </w:p>
    <w:p w:rsidR="00B363D4" w:rsidRDefault="00B363D4" w:rsidP="00B363D4">
      <w:r>
        <w:t>Има паралелен интерес към използването на мобилни технологии за подпомагане на хора с когнитивни увреждания, дължащи се на травматично мозъчно увреждане, инсулт или болест на Алцхаймер, особено по отношение на предоставянето на подкрепа при пътуване. Прототипът на MAPS-Lifeline (Carmien, 2004; Carmien et al., 2005) създаде базирана на GPS система за мобилни устройства, която включва динамично наблюдение от лицата, които се грижат за тях. Lindström (2007) докладва за шведски изпитания на системи за подпомагане на навигацията, базирани на мобилни технологии и GPS за хора с когнитивни увреждания. Докладите на потребителите показват, че надеждността и лекотата на използване са приоритети при проектирането. Проектът Opportunity Knocks (Patterson et al., 2004) създаде мобилно GPS-базирано приложение за предоставяне на когнитивна помощ на потребители с когнитивни увреждания, използващи обществен транспорт. Системата автоматично открива текущия начин на транспорт на потребителя и използва евристичен алгоритъм за обучение, открива, когато потребителят направи нещо неочаквано, като например пропускане на обичайната си гара. Браун и сътр. (2011) докладват за тяхната разработка и оценка на първоначален прототип на GPS-базирано приложение за Android, което да поддържа навигация по маршрута, базирана на сериозни игри. Потребители с интелектуални затруднения и сензорни увреждания репетираха потенциални маршрути, използвайки приложните игри, което потенциално намалява разчитането на необходимостта от насоки и подкрепа по време на пътуване.</w:t>
      </w:r>
    </w:p>
    <w:p w:rsidR="00B363D4" w:rsidRDefault="00B363D4">
      <w:r w:rsidRPr="00E11CAA">
        <w:rPr>
          <w:lang w:val="ru-RU"/>
        </w:rPr>
        <w:t xml:space="preserve">Софтуерът </w:t>
      </w:r>
      <w:r w:rsidRPr="00B363D4">
        <w:t>HANDS</w:t>
      </w:r>
      <w:r w:rsidRPr="00E11CAA">
        <w:rPr>
          <w:lang w:val="ru-RU"/>
        </w:rPr>
        <w:t xml:space="preserve"> се състои от уеб базиран гъвкав инструментариум, който учителите използват за разработване на специфични последователности за подкрепа и интервенция, специфични за нуждите на всяко дете. Тези поредици се състоят от серия от свързани екрани, всеки от които може да включва персонализиран текст, изображения, видео и звук. Тези персонализирани последователности на „Персонален треньор“ могат да бъдат свързани със свързаната изчерпателна функция дневник, която също е включена в софтуера. </w:t>
      </w:r>
      <w:r w:rsidRPr="00B363D4">
        <w:t xml:space="preserve">Последователностите на Personal Trainer могат да се съхраняват като шаблони, а функцията за споделяне позволява на учителите да адаптират съществуващите последователности за други деца. Системата също така включва функция за електронен отпечатък, която създава регистрационен файл за всяко използване на мобилното приложение от детето. Приложението е разработено с помощта на Windows Dynamic Mobile и използваните смартфони включват HTC Diamond и HTC Touch HD. Беше извършена и пилотна реализация в Android 2.2. Целта на дизайнерите при прилагането на това е да убедят потребителите да бъдат коректни и честни в транзакциите си на сайта. HANDS беше един от първите проекти, които прилагат Persuasive Technology Design за използване в образователни среди. Въз основа на качествената оценка на първия прототип (Mintz et al., 2012), бяха въведени редица подобрения както в процедурата за проектиране, така и в процедурата за изпълнение на втория прототип („Прототип 2“), който беше разработен през лятото от 2010 г. Тези подобрения включват по-интуитивен и по-малко претрупан графичен потребителски интерфейс. Освен това, поради по-разширено бета тестване с учители, </w:t>
      </w:r>
      <w:r w:rsidRPr="00B363D4">
        <w:lastRenderedPageBreak/>
        <w:t>преди приложението да бъде пуснато за употреба от децата, имаше и значително по-висока степен на техническа стабилност. Въз основа на обединяването и споделянето на опита на учителите от използването на Прототип 1, имаше и подобрена онлайн система за насоки, която включваше педагогически казуси, базирани на случаи на успешна употреба, и библиотека с изображения за споделяне. Споделянето на текущото развитие на използването на най-добри практики между учителите също беше улеснено от редовни онлайн срещи, на които се споделяше опит с отделни деца. Учителите бяха помолени да използват примерите за най-добри практики, извлечени от опита в Прототип 1, и да изберат подходяща ситуация, свързана с житейски умения и свързана със социални умения, които се оказаха трудни за детето. Например, за едно дете задачата за житейски умения беше да се качи самостоятелно в автобуса, а задачата за социални умения беше да използва телефона и да предаде съобщение на своя учител. Учителите поеха основната отговорност за разработването на интервенции за подпомагане на функционирането на живота или социалните умения в контекста на тези ситуации.</w:t>
      </w:r>
    </w:p>
    <w:p w:rsidR="001C26B5" w:rsidRDefault="00B363D4" w:rsidP="001C26B5">
      <w:r w:rsidRPr="00B363D4">
        <w:t xml:space="preserve">Аутизмът се характеризира с различия в социалните умения, ограничени комуникационни способности и повтарящо се поведение, което често води до повишено зависимост от други хора. Транспортът е само една задача, която обикновено е обременена за членовете на семейството. Общественият транспорт е евтина и широко достъпна форма на пътуване, която улеснява независимостта. Въпреки това, той представлява уникални предизвикателства за хората от спектъра, тъй като изисква сложни умения, включително, но не само, разбиране на абстрактна информация (например карти, графици за обслужване и т.н.), решаване на неочаквани ситуации и навременно управление на трансферите. Като такива, повечето хора от аутистичния спектър не използват обществен транспорт и никога не са обмисляли да го използват. Тук оценяваме ефективността на специфично за аутизма приложение за обществен транспорт, OrienTrip, с аутисти и свързани здравни специалисти. Установено е, че OrienTrip е ефективен за улесняване на използването на обществен транспорт за хора с аутизъм. Хората от аутистичния спектър изразиха задоволството си от приложението и се съгласиха, че то прави обществения транспорт лесен за използване. По същия начин, съюзни здравни специалисти също посочиха, че OrienTrip е полезен за подпомагане на хората с аутизъм да използват безопасно обществения транспорт. Аутизмът е състояние, характеризиращо се с различия в социалните умения, ограничени комуникационни способности и повтарящо се поведение, което често води до повишено зависимост от други хора за ежедневните практики. Транспортът е само една задача, която обикновено е обременена за членовете на семейството. Общественият транспорт е евтина и широко достъпна форма на мобилност, която улеснява независимостта и освобождава тежестта на подпомаганото пътуване. Той също така отбеляза подкрепата сред аутистичните общности за способността му да осигури по-голяма автономия и да подобри качеството на живот. Тази форма на пътуване обаче представлява уникални предизвикателства за хората от спектъра, тъй като изисква умения, включително, но не само, разбиране на абстрактна информация (като карти, графици за обслужване, знаци и ориентири), решаване на неочаквани ситуации и навременни управление на трансферите. Като такова ние разработихме мобилно приложение за планиране на пътувания в обществения транспорт, наречено OrienTrip, което е създадено съвместно с хора с аутизъм, за да улесним използването на обществения транспорт за хората от аутистичния спектър. Тук ние оценяваме ефективността и ефикасността на OrienTrip чрез две пилотни проучвания. OrienTrip е мобилно приложение за планиране на пътувания с обществен транспорт, създадено съвместно от хора с аутизъм, за да улесни независимото пътуване на хората в </w:t>
      </w:r>
      <w:r w:rsidR="001C26B5">
        <w:t xml:space="preserve">аутистичен спектър. Пет принципа ръководеха </w:t>
      </w:r>
      <w:r w:rsidR="001C26B5">
        <w:lastRenderedPageBreak/>
        <w:t>процеса на разработка. Това са (1) безопасност, (2) повишаване на пространственото съзнание, (3) улесняване на комуникацията, (4) облекчаване на тревожността и сензорното претоварване и (5) опростяване на планирането на пътуването.</w:t>
      </w:r>
    </w:p>
    <w:p w:rsidR="001C26B5" w:rsidRDefault="001C26B5" w:rsidP="001C26B5">
      <w:r>
        <w:t>Бариери за мобилност</w:t>
      </w:r>
    </w:p>
    <w:p w:rsidR="001C26B5" w:rsidRDefault="001C26B5" w:rsidP="001C26B5">
      <w:r>
        <w:t>Най-важната цел на проучването беше да се идентифицират бариерите за мобилност, с които се сблъскват възрастните с ASD. Относно тази цел, в проучването бяха включени редица въпроси, които разглеждаха въпроси, свързани с използването на конкретен режим, включително ходене пеша, шофиране, возене от други и ползване на обществен транспорт. Отговорите от анкетата са обобщени по-долу за всеки режим.</w:t>
      </w:r>
    </w:p>
    <w:p w:rsidR="001C26B5" w:rsidRDefault="001C26B5" w:rsidP="001C26B5">
      <w:r>
        <w:t>Бариери пред ходенето</w:t>
      </w:r>
    </w:p>
    <w:p w:rsidR="001C26B5" w:rsidRDefault="001C26B5" w:rsidP="001C26B5">
      <w:r w:rsidRPr="00E11CAA">
        <w:rPr>
          <w:lang w:val="ru-RU"/>
        </w:rPr>
        <w:t xml:space="preserve">На респондентите в анкетата беше даден списък с потенциални бариери, които биха могли да им попречат да ходят в квартала си. Списъкът включва липса или лошо качество на тротоари, липса на улично осветление, лошо качество на кръстовища или улични пресичания, скорост и обем на движението, престъпност и липса на дестинации в близост. Освен това на респондентите беше разрешено да изберат отделна категория, наречена „Други“ и да посочат бариерите, които не бяха в списъка. </w:t>
      </w:r>
      <w:r>
        <w:t>Бариерите, избрани от повечето респонденти от списъка, са липса на дестинации (25,0% от респондентите), скорост и обем на движението (24,9%) и липса или лошо качество на тротоарите (17,4%). Най-рядко избраните бариери са престъпността (5,3% респонденти), липсата на улично осветление (8,7%) и лошото качество на кръстовища и кръстовища (11,9%). Може би по-важното е, че 28,2% от респондентите избраха категорията „Други” и неизменно посочиха своите увреждания, свързани с увреждането като пречки за ходене. По този начин, въпреки че отговорите показват, че някои от екологичните бариери пред ходенето, срещани от общото население, се срещат и от лицата с ASD, последните срещат допълнителни бариери поради техните увреждания.</w:t>
      </w:r>
    </w:p>
    <w:p w:rsidR="001C26B5" w:rsidRDefault="001C26B5" w:rsidP="001C26B5">
      <w:r w:rsidRPr="00E11CAA">
        <w:rPr>
          <w:lang w:val="ru-RU"/>
        </w:rPr>
        <w:t xml:space="preserve">Въпреки че хората без </w:t>
      </w:r>
      <w:r>
        <w:t>ASD</w:t>
      </w:r>
      <w:r w:rsidRPr="00E11CAA">
        <w:rPr>
          <w:lang w:val="ru-RU"/>
        </w:rPr>
        <w:t xml:space="preserve"> може да не смятат ходенето в квартала си като трудна задача, ходенето изисква определени умения и способности, които много хора с </w:t>
      </w:r>
      <w:r>
        <w:t>ASD</w:t>
      </w:r>
      <w:r w:rsidRPr="00E11CAA">
        <w:rPr>
          <w:lang w:val="ru-RU"/>
        </w:rPr>
        <w:t xml:space="preserve"> нямат. За да се проучи дали респондентите имат критичните умения да ходят безопасно в квартала си, те бяха попитани дали имат някакви затруднения с различни аспекти на ходенето. За пореден път им беше даден списък и инструктирани да посочат дали са имали затруднения с един или повече аспекти. Отговорите са обобщени в Таблица 5. От отговорите е видно, че такива основни умения като пресичане на пътища, преценка на разстоянието на превозното средство и определяне на посоката, които хората в общата популация приемат за даденост, са трудни за голяма част от хората с </w:t>
      </w:r>
      <w:r>
        <w:t>ASD</w:t>
      </w:r>
      <w:r w:rsidRPr="00E11CAA">
        <w:rPr>
          <w:lang w:val="ru-RU"/>
        </w:rPr>
        <w:t xml:space="preserve"> . </w:t>
      </w:r>
      <w:r>
        <w:t>В допълнение, значителна част от хората с ASD също трябва да се справят с разсейване по време на ходене поради тяхното увреждане. Поради тези трудности 53,5% от респондентите посочват в отговор на друг въпрос, че не знаят как безопасно да пресичат път без чужда помощ.</w:t>
      </w:r>
    </w:p>
    <w:p w:rsidR="001C26B5" w:rsidRDefault="001C26B5" w:rsidP="001C26B5">
      <w:r>
        <w:t>Бариери пред шофирането</w:t>
      </w:r>
    </w:p>
    <w:p w:rsidR="001C26B5" w:rsidRDefault="001C26B5" w:rsidP="001C26B5">
      <w:r w:rsidRPr="00E11CAA">
        <w:rPr>
          <w:lang w:val="ru-RU"/>
        </w:rPr>
        <w:t xml:space="preserve">Липсата на превозни средства в техните домакинства не е пречка за шофирането за повечето анкетирани възрастни с </w:t>
      </w:r>
      <w:r>
        <w:t>ASD</w:t>
      </w:r>
      <w:r w:rsidRPr="00E11CAA">
        <w:rPr>
          <w:lang w:val="ru-RU"/>
        </w:rPr>
        <w:t xml:space="preserve">. Проучването показа, че само 3,6% от анкетираните живеят в домакинства без никакви превозни средства; 26,4% живееха в домакинства с едно превозно средство, 46,9% живееха в домакинства с две превозни средства, а 23,1% живееха в домакинства с три или повече превозни средства. Въпреки това, само 9,3% от възрастните с </w:t>
      </w:r>
      <w:r>
        <w:lastRenderedPageBreak/>
        <w:t>ASD</w:t>
      </w:r>
      <w:r w:rsidRPr="00E11CAA">
        <w:rPr>
          <w:lang w:val="ru-RU"/>
        </w:rPr>
        <w:t xml:space="preserve"> са имали шофьорска книжка и много от тях са я използвали само като лична карта, вместо като действителна книжка за шофиране. От 47-те лица, които са имали шофьорска книжка, 61,4% споменават, че са имали някаква форма на затруднения при шофиране. В отговор на въпрос за конкретни трудности, 55,3% от лицата с шофьорска книжка посочват затруднения при справянето с движението, 34,0% споменават затруднения, причинени от разсейване в близост до пътища, 27,7% споменават затруднения с преценката на разстоянието, а други 27,7% споменават затруднения с паркирането. . </w:t>
      </w:r>
      <w:r>
        <w:t>Поради тези трудности 26,1% от тези с шофьорски книжки изобщо не са шофирали, 19,6% карат по-рядко от веднъж седмично, 30,4% карат веднъж или повече седмично и само 23,9% карат ежедневно.</w:t>
      </w:r>
    </w:p>
    <w:p w:rsidR="001C26B5" w:rsidRDefault="001C26B5">
      <w:pPr>
        <w:rPr>
          <w:sz w:val="28"/>
          <w:szCs w:val="28"/>
        </w:rPr>
      </w:pPr>
      <w:r w:rsidRPr="001C26B5">
        <w:rPr>
          <w:sz w:val="28"/>
          <w:szCs w:val="28"/>
        </w:rPr>
        <w:t>Препоръки</w:t>
      </w:r>
    </w:p>
    <w:p w:rsidR="001C26B5" w:rsidRPr="001C26B5" w:rsidRDefault="001C26B5" w:rsidP="001C26B5">
      <w:pPr>
        <w:rPr>
          <w:sz w:val="24"/>
          <w:szCs w:val="24"/>
        </w:rPr>
      </w:pPr>
      <w:r w:rsidRPr="001C26B5">
        <w:rPr>
          <w:sz w:val="24"/>
          <w:szCs w:val="24"/>
        </w:rPr>
        <w:t>Насока 1: работете с децата за идентифициране на нуждите</w:t>
      </w:r>
    </w:p>
    <w:p w:rsidR="001C26B5" w:rsidRPr="001C26B5" w:rsidRDefault="001C26B5" w:rsidP="001C26B5">
      <w:pPr>
        <w:rPr>
          <w:sz w:val="24"/>
          <w:szCs w:val="24"/>
        </w:rPr>
      </w:pPr>
      <w:r w:rsidRPr="00E11CAA">
        <w:rPr>
          <w:sz w:val="24"/>
          <w:szCs w:val="24"/>
          <w:lang w:val="ru-RU"/>
        </w:rPr>
        <w:t xml:space="preserve">Нашата оценка показва, че в съответствие с общата литература за убеждаващите технологии, мобилните убеждаващи интервенции за деца и млади хора с </w:t>
      </w:r>
      <w:r w:rsidRPr="001C26B5">
        <w:rPr>
          <w:sz w:val="24"/>
          <w:szCs w:val="24"/>
        </w:rPr>
        <w:t>ASD</w:t>
      </w:r>
      <w:r w:rsidRPr="00E11CAA">
        <w:rPr>
          <w:sz w:val="24"/>
          <w:szCs w:val="24"/>
          <w:lang w:val="ru-RU"/>
        </w:rPr>
        <w:t xml:space="preserve"> са по-ефективни, ако детето едновременно а) е наясно с трудностите/проблема и разпознава като такива, и б) мотивирани да постигнат положителна промяна в поведението. Учителите трябва да разработят интервенции за подобни системи въз основа на признаването на факта, че осъзнаването на нуждите на учениците и вътрешната мотивация за промяна на поведението е ключов посреднически фактор. Вместо да започват от позицията на „учителят знае най-добре“, те трябва да работят съвместно с деца и млади хора, за да идентифицират интервенциите, с които детето или младият човек се съгласява. </w:t>
      </w:r>
      <w:r w:rsidRPr="001C26B5">
        <w:rPr>
          <w:sz w:val="24"/>
          <w:szCs w:val="24"/>
        </w:rPr>
        <w:t>Освен това трябва да се обърне сериозно внимание, в училищните приложения на такива системи, за увеличаване на автономията на детето или младия човек по отношение на тяхното ниво на контрол върху интервенциите, които са разработени за тях на HANDSlike системи.</w:t>
      </w:r>
    </w:p>
    <w:p w:rsidR="001C26B5" w:rsidRPr="00E11CAA" w:rsidRDefault="001C26B5" w:rsidP="001C26B5">
      <w:pPr>
        <w:rPr>
          <w:sz w:val="24"/>
          <w:szCs w:val="24"/>
          <w:lang w:val="ru-RU"/>
        </w:rPr>
      </w:pPr>
      <w:r w:rsidRPr="00E11CAA">
        <w:rPr>
          <w:sz w:val="24"/>
          <w:szCs w:val="24"/>
          <w:lang w:val="ru-RU"/>
        </w:rPr>
        <w:t>Въпреки че винаги ще се изисква известно ниво на надзор и улесняване от възрастни в училищните приложения, балансът трябва да бъде „насочен“ допълнително към собствения контрол на детето върху развитието на интервенциите.</w:t>
      </w:r>
    </w:p>
    <w:p w:rsidR="001C26B5" w:rsidRPr="001C26B5" w:rsidRDefault="001C26B5" w:rsidP="001C26B5">
      <w:pPr>
        <w:rPr>
          <w:sz w:val="24"/>
          <w:szCs w:val="24"/>
        </w:rPr>
      </w:pPr>
      <w:r w:rsidRPr="001C26B5">
        <w:rPr>
          <w:sz w:val="24"/>
          <w:szCs w:val="24"/>
        </w:rPr>
        <w:t>Насока 2: идентифициране на кои деца ще се възползват най-много</w:t>
      </w:r>
    </w:p>
    <w:p w:rsidR="001C26B5" w:rsidRPr="001C26B5" w:rsidRDefault="001C26B5" w:rsidP="001C26B5">
      <w:pPr>
        <w:rPr>
          <w:sz w:val="24"/>
          <w:szCs w:val="24"/>
        </w:rPr>
      </w:pPr>
      <w:r w:rsidRPr="001C26B5">
        <w:rPr>
          <w:sz w:val="24"/>
          <w:szCs w:val="24"/>
        </w:rPr>
        <w:t>В Насока 1 препоръчваме учителите да се съсредоточат върху идентифицирането на нуждите от гледна точка на детето. Това очевидно е от решаващо значение, но някои деца, поради когнитивни увреждания, ще намерят много по-трудно да осъзнаят социалните трудности и трудностите в житейските умения, които са важни фактори, допринасящи за тяхното изключване от образователни и социални възможности. В такива случаи е малко вероятно инстанцирането на поведенчески съобщения в системи, подобни на РЪЦЕТЕ, да допринесе за постигане на положителна промяна в поведението.</w:t>
      </w:r>
    </w:p>
    <w:p w:rsidR="00830871" w:rsidRDefault="001C26B5">
      <w:r w:rsidRPr="001C26B5">
        <w:rPr>
          <w:sz w:val="24"/>
          <w:szCs w:val="24"/>
        </w:rPr>
        <w:t xml:space="preserve">Като алтернатива, нашата оценка показва, че някои деца с ASD може да са особено подходящи за използването на тази технология. Децата, които осъзнават проблемите със социалните и житейските умения, които се оказват пречки за приобщаването, и </w:t>
      </w:r>
      <w:r w:rsidRPr="001C26B5">
        <w:rPr>
          <w:sz w:val="24"/>
          <w:szCs w:val="24"/>
        </w:rPr>
        <w:lastRenderedPageBreak/>
        <w:t xml:space="preserve">които същевременно са мотивирани за промяна на поведението, са много по-склонни да се окажат възприемчиви. Освен това, нашата констатация, че някои млади хора с ASD може да предпочитат да получават съобщения за промяна на поведението от мобилни устройства, а не от възрастни, е особено важно, особено като се има предвид съществуването на две потенциални обяснителни </w:t>
      </w:r>
      <w:r w:rsidR="00830871" w:rsidRPr="00830871">
        <w:t>обяснява това явление. Първият от тези сметки, основно увреждане в скоростите на когнитивната обработка, може да има потенциално приложение и за други групи с този тип увреждане, като млади хора с дефицит на вниманието/хиперактивност (виж Mayes &amp; Calhoun, 2007). Вторият разказ, който обяснява предпочитанието, основано на желанието на младия човек за автономия, т.е. по-добре, отколкото да ви заяжда учителят ви, допълнително подчертава необходимостта от поставяне на по-голям акцент върху възгледите на младите хора с ASD, когато се вземат решения за това кои интервенции да прилагат и как да ги структурираме.</w:t>
      </w:r>
    </w:p>
    <w:p w:rsidR="00830871" w:rsidRDefault="00830871">
      <w:pPr>
        <w:rPr>
          <w:b/>
          <w:sz w:val="28"/>
          <w:szCs w:val="28"/>
        </w:rPr>
      </w:pPr>
      <w:r w:rsidRPr="00830871">
        <w:rPr>
          <w:b/>
          <w:sz w:val="28"/>
          <w:szCs w:val="28"/>
        </w:rPr>
        <w:t>Препоръки</w:t>
      </w:r>
    </w:p>
    <w:p w:rsidR="00014DF2" w:rsidRDefault="008B4B57">
      <w:r>
        <w:t xml:space="preserve">Amber, N., Schrodt, P., Witt, P., Elledge, N., Jernberg, K., &amp; Larson, L. (2009). A meta-analytical review of teacher credibility and its associations with teacher behaviors and student outcomes. Communication Education, 58(4), 516–537. </w:t>
      </w:r>
    </w:p>
    <w:p w:rsidR="00014DF2" w:rsidRDefault="008B4B57">
      <w:r>
        <w:t xml:space="preserve">Aurora. (2000). The Aurora project. Retrieved 25.11.11, from. updated 2008. </w:t>
      </w:r>
      <w:hyperlink r:id="rId7">
        <w:r>
          <w:rPr>
            <w:color w:val="0563C1"/>
            <w:u w:val="single"/>
          </w:rPr>
          <w:t>http://www.aurora-project.com</w:t>
        </w:r>
      </w:hyperlink>
      <w:r>
        <w:t>. Bandura, A. (1977). Self-efficacy: toward a unifying theory of behavioral change. Psychological Review, 84(2), 191–215. http://dx.doi.org/10.1037/0033-295X.84.2.191, American Psychological Association.</w:t>
      </w:r>
    </w:p>
    <w:p w:rsidR="00014DF2" w:rsidRDefault="008B4B57">
      <w:r>
        <w:t>Bandura, A. (1986). The explanatory and predictive scope of self-efficacy theory. Journal of Social and Clinical Psychology, 4(3), 359–373, Guilford Publications. Retrieved from. http://www.atypon-link.com/GPI/doi/abs/10.1521/jscp.1986.4.3.359.</w:t>
      </w:r>
    </w:p>
    <w:p w:rsidR="00014DF2" w:rsidRDefault="008B4B57">
      <w:r>
        <w:t>Bandura, A. (1991). Human agency: the rhetoric and the reality. American Psychologist, 46(2), 157–162. http://dx.doi.org/10.1037/0003-066X.46.2.157.</w:t>
      </w:r>
    </w:p>
    <w:p w:rsidR="00014DF2" w:rsidRDefault="008B4B57">
      <w:r>
        <w:t>Baron-Cohen, S., Leslie, A. M., &amp; Frith, U. (1985). Does the autistic child have a “theory of mind”? Cognition, 21(1), 37–46.</w:t>
      </w:r>
    </w:p>
    <w:p w:rsidR="00014DF2" w:rsidRDefault="008B4B57">
      <w:r>
        <w:t>Bernard-Opitz, V., Sriram, N., &amp; Nakhoda-Sapuan, S. (2001). Enhancing social problem solving in children with autism and normal children through computer-assisted instruction. Journal of Autism and Developmental Disorders, 31, 377–384.</w:t>
      </w:r>
    </w:p>
    <w:p w:rsidR="00014DF2" w:rsidRDefault="008B4B57">
      <w:r>
        <w:t>Brown, D. J., McHugh, D., Standen, P., Evett, L., Shopland, N., &amp; Battersby, S. (2011). Designing location-based learning experiences for people with intellectual disabilities and additional sensory impairments. Computers &amp; Education, 56(1), 11–20.</w:t>
      </w:r>
    </w:p>
    <w:p w:rsidR="00014DF2" w:rsidRDefault="008B4B57">
      <w:r>
        <w:t>Carley, K. (1990). Content analysis. In R. E. Asher (Ed.), The encyclopaedia of language and linguistics. Edinburgh, UK: Pergamon Press.</w:t>
      </w:r>
    </w:p>
    <w:p w:rsidR="00014DF2" w:rsidRDefault="008B4B57">
      <w:r>
        <w:t>Carmien, S. (2004). Task support for people with cognitive impairments and their caregivers. American Journal of Occupational Therapy, 4, 1–4.</w:t>
      </w:r>
    </w:p>
    <w:p w:rsidR="00014DF2" w:rsidRDefault="008B4B57">
      <w:r>
        <w:t>Carmien, S., Dawe, M., Fischer, G., Gorman, A., Kintsch, A., &amp; Sullivan, J. F. (June 2005). Socio-technical environments supporting people with cognitive disabilities using public</w:t>
      </w:r>
    </w:p>
    <w:p w:rsidR="00014DF2" w:rsidRDefault="008B4B57">
      <w:r>
        <w:lastRenderedPageBreak/>
        <w:t>transportation. ACM Transactions on Computer-Human Interaction, 12(2), 233–262.</w:t>
      </w:r>
    </w:p>
    <w:p w:rsidR="00014DF2" w:rsidRDefault="008B4B57">
      <w:r>
        <w:t>Carter, A. S., Volkmar, F. R., Sparrow, S. S., Wang, J.-J., Lord, C., Dawson, G., et al. (1998). The Vineland Adaptive Behavior Scales: supplementary norms for individuals with autism. Journal of Autism and Developmental Disorders, 28(4), 287–302.</w:t>
      </w:r>
    </w:p>
    <w:p w:rsidR="00014DF2" w:rsidRDefault="008B4B57">
      <w:r>
        <w:t>Charman, T., Howlin, P., Berry, B., &amp; Prince, E. (2004). Measuring developmental progress of children with autism spectrum disorder on school entry using parent report.</w:t>
      </w:r>
    </w:p>
    <w:p w:rsidR="00014DF2" w:rsidRDefault="008B4B57">
      <w:r>
        <w:t>Autism: The International Journal of Research and Practice, 8(1), 89–100. http://dx.doi.org/10.1177/1362361304040641.</w:t>
      </w:r>
    </w:p>
    <w:p w:rsidR="00014DF2" w:rsidRDefault="008B4B57">
      <w:r>
        <w:t>Cohen, L., Manion, L., &amp; Morrison, K. (2007). Research Methods in education (6th ed.). London, UK: Routledge Falmer.</w:t>
      </w:r>
    </w:p>
    <w:p w:rsidR="00014DF2" w:rsidRDefault="008B4B57">
      <w:r>
        <w:t>COMScore. (2012). 2012 Mobile future in focus [Online]. Available. http://www.comscore.com/Press_Events/Presentations_Whitepapers/2012/2012_Mobile_Future_in_Focus</w:t>
      </w:r>
    </w:p>
    <w:p w:rsidR="00014DF2" w:rsidRDefault="008B4B57">
      <w:r>
        <w:t>Dautenhahan, K., &amp; Werry, I. (2004). Towards interactive robots in autism therapy: background, motivation and challenges. Pragmatics and Cognition, 12(1), 1–35.</w:t>
      </w:r>
    </w:p>
    <w:p w:rsidR="00014DF2" w:rsidRDefault="008B4B57">
      <w:r>
        <w:t>Deci, E. L., &amp; Ryan, R. M. (2008). Self-determination theory: a macrotheory of human motivation, development, and health. Canadian Psychology/Psychologie Canadienne, 49(3), 182–185. http://dx.doi.org/10.1037/a0012801.</w:t>
      </w:r>
    </w:p>
    <w:p w:rsidR="00014DF2" w:rsidRDefault="008B4B57">
      <w:r>
        <w:t>Dexter, S. L., Anderson, R. E., &amp; Becker, H. J. (2000). Teachers’ views of computers as catalysts for changes in their teaching practice. Journal of Research on Computing in Education, 31(3), 222–232.</w:t>
      </w:r>
    </w:p>
    <w:p w:rsidR="00014DF2" w:rsidRDefault="008B4B57">
      <w:r>
        <w:t>Farr, W., Yuill, N., &amp; Raffle, H. (2010). Social benefits of a tangible user interface for children with Autistic Spectrum conditions. Autism, 14(3), 237–252.</w:t>
      </w:r>
    </w:p>
    <w:p w:rsidR="00014DF2" w:rsidRDefault="008B4B57">
      <w:r>
        <w:t>Fereday, J., &amp; Muir-Cochrane, E. (2006). Demonstrating rigor using thematic analysis: a hybrid approach of inductive and deductive coding and theme development.</w:t>
      </w:r>
    </w:p>
    <w:p w:rsidR="00014DF2" w:rsidRDefault="008B4B57">
      <w:r>
        <w:t>International Journal of Qualitative Methods, 5(1), 80–92.</w:t>
      </w:r>
    </w:p>
    <w:p w:rsidR="00014DF2" w:rsidRDefault="008B4B57">
      <w:r>
        <w:t>Fogg, B. J. (2003). Persuasive technology. Using computers to change what we think and do. San Francisco, CA: Morgan Kaufman Publishers.</w:t>
      </w:r>
    </w:p>
    <w:p w:rsidR="00014DF2" w:rsidRDefault="008B4B57">
      <w:r>
        <w:t>Fogg, B., Cuellar, G., &amp; Danielson, D. R. (2008). Motivating, influencing, and persuading users. In J. A. Jacko (Ed.), The handbook of human-computer interaction (pp. 359–370).</w:t>
      </w:r>
    </w:p>
    <w:p w:rsidR="00014DF2" w:rsidRDefault="008B4B57">
      <w:r>
        <w:t>CRC Press.</w:t>
      </w:r>
    </w:p>
    <w:p w:rsidR="00014DF2" w:rsidRDefault="008B4B57">
      <w:r>
        <w:t>Fogg, B. J., &amp; Eckles, D. (2007). Mobile persuasion. 20 perspectives on the future of behavior change. Stanford: Stanford Captology Media.</w:t>
      </w:r>
    </w:p>
    <w:p w:rsidR="00014DF2" w:rsidRDefault="008B4B57">
      <w:r>
        <w:t>Fombonne, E. (2003). Epidemiological surveys of autism and other pervasive developmental disorders: an update. Journal of Autism and Developmental Disorders, 33(4), 365–381.</w:t>
      </w:r>
    </w:p>
    <w:p w:rsidR="00014DF2" w:rsidRDefault="008B4B57">
      <w:r>
        <w:t>Frith, U., &amp; Happé, F. (1994). Autism: beyond “theory of mind”. Cognition, 50(1–3), 115–132, The MIT Press.</w:t>
      </w:r>
    </w:p>
    <w:p w:rsidR="00014DF2" w:rsidRDefault="008B4B57">
      <w:r>
        <w:lastRenderedPageBreak/>
        <w:t>Gentry, T., Wallace, J., Kvarfordt, C., &amp; Lynch, K. B. (2010). Personal digital assistants as cognitive aids for high school students with autism: results of a community-based trial.</w:t>
      </w:r>
    </w:p>
    <w:p w:rsidR="00014DF2" w:rsidRDefault="008B4B57">
      <w:r>
        <w:t>Journal of Vocational Rehabilitation, 32, 101–107.</w:t>
      </w:r>
    </w:p>
    <w:p w:rsidR="00014DF2" w:rsidRDefault="008B4B57">
      <w:r>
        <w:t>Glover, D., &amp; Miller, D. (2001). Running with Technology: the pedagogic impact of the large-scale introduction of interactive whiteboards in one secondary school. Technology,</w:t>
      </w:r>
    </w:p>
    <w:p w:rsidR="00014DF2" w:rsidRDefault="008B4B57">
      <w:r>
        <w:t>Pedagogy and Education, 10(3), 257–278.</w:t>
      </w:r>
    </w:p>
    <w:p w:rsidR="00014DF2" w:rsidRDefault="008B4B57">
      <w:r>
        <w:t>Hammersley, M., &amp; Atkinson, P. (2007). Ethnography in practice (3rd ed.). London, UK: Routledge.</w:t>
      </w:r>
    </w:p>
    <w:p w:rsidR="00014DF2" w:rsidRDefault="008B4B57">
      <w:r>
        <w:t>HANDS Project. (2011). The HANDS project. Retrieved 28.12.11, from. www.hands-project.eu.</w:t>
      </w:r>
    </w:p>
    <w:p w:rsidR="00014DF2" w:rsidRDefault="008B4B57">
      <w:r>
        <w:t>Haskins, B. G., &amp; Silva, J. A. (2006). Asperger’s disorder and criminal behavior: forensic psychiatric considerations. Journal of the American Academy of Psychiatry and the Law, 34, 374–384.</w:t>
      </w:r>
    </w:p>
    <w:p w:rsidR="00014DF2" w:rsidRDefault="008B4B57">
      <w:r>
        <w:t>Howlin, P. (2004). Autism and Asperger Syndrome: Preparing for adulthood. London, UK: Routledge.</w:t>
      </w:r>
    </w:p>
    <w:p w:rsidR="00014DF2" w:rsidRDefault="008B4B57">
      <w:r>
        <w:t>Jason, J. T., &amp; Herring, J. E. (2005). Teacher influence in the classroom: a preliminary investigation of perceived instructor power, credibility, and student satisfaction.</w:t>
      </w:r>
    </w:p>
    <w:p w:rsidR="00014DF2" w:rsidRDefault="008B4B57">
      <w:r>
        <w:t>Communication Research Reports, 22(3), 235–246.</w:t>
      </w:r>
    </w:p>
    <w:p w:rsidR="00014DF2" w:rsidRDefault="008B4B57">
      <w:r>
        <w:t>Lindström, J. (2007). Safe navigation with wireless technology. In P. R. W. Roe (Ed.), Towards and inclusive future: Impact and wider potential of information and communication technologies. Brussels: COST.</w:t>
      </w:r>
    </w:p>
    <w:p w:rsidR="00014DF2" w:rsidRDefault="008B4B57">
      <w:r>
        <w:t xml:space="preserve">Luna, B., Doll, S. K., Hegedus, S. J., Minshew, N. J., &amp; Sweeney, J. A. (2007). Maturation of executive function in autism. Biological Psychiatry, 61(4), 474–481. </w:t>
      </w:r>
      <w:hyperlink r:id="rId8">
        <w:r>
          <w:rPr>
            <w:color w:val="0563C1"/>
            <w:u w:val="single"/>
          </w:rPr>
          <w:t>http://dx.doi.org/</w:t>
        </w:r>
      </w:hyperlink>
      <w:r>
        <w:t xml:space="preserve"> 10.1016/j.biopsych.2006.02.030.</w:t>
      </w:r>
    </w:p>
    <w:p w:rsidR="00014DF2" w:rsidRDefault="008B4B57">
      <w:r>
        <w:t>Matzen, N. J., &amp; Edmunds, J. A. (2007). Technology as a catalyst for change: the role of professional development. Journal of Research on Technology in Education, 39(4), 417–430.</w:t>
      </w:r>
    </w:p>
    <w:p w:rsidR="00014DF2" w:rsidRDefault="008B4B57">
      <w:r>
        <w:t>Mayes, S. D., &amp; Calhoun, S. L. (2007). Learning, attention, writing, and processing speed in typical children and children with ADHD, autism, anxiety, depression, and oppositional-defiant disorder. Child Neuropsychology: A Journal on Normal and Abnormal Development in Childhood and Adolescence, 13(6), 469–493.</w:t>
      </w:r>
    </w:p>
    <w:p w:rsidR="00014DF2" w:rsidRDefault="008B4B57">
      <w:r>
        <w:t>Mechling, L. C., Gast, D. L., &amp; Seid, N. H. (2009). Using a personal digital assistant to increase independent task completion by students with autism spectrum disorder. Journal of Autism and Developmental Disorders, 39(10), 1420–1434. http://dx.doi.org/10.1007/s10803-009-0761-0.</w:t>
      </w:r>
    </w:p>
    <w:p w:rsidR="00014DF2" w:rsidRDefault="008B4B57">
      <w:r>
        <w:t>Meschtscherjakov, A. (2009). Mobile attachment – Emotional attachment towards mobile devices and services. In The Proceedings of the 11th International Conference on human-computer interaction with mobile devices and services, Mobile HCI’09. Bonn, Germany.</w:t>
      </w:r>
    </w:p>
    <w:p w:rsidR="00014DF2" w:rsidRDefault="008B4B57">
      <w:r>
        <w:t>Miles, B., &amp; Huberman, N. (1994). Qualitative data analysis: An expanded sourcebook (2nd ed.). CA: Sage.</w:t>
      </w:r>
    </w:p>
    <w:p w:rsidR="00014DF2" w:rsidRDefault="008B4B57">
      <w:r>
        <w:t>Mintz, J., Branch, C., March, C., &amp; Lerman, S. (2012). Key factors mediating the use of a mobile technology tool designed to develop social and life skills in children with Autistic</w:t>
      </w:r>
    </w:p>
    <w:p w:rsidR="00014DF2" w:rsidRDefault="008B4B57">
      <w:r>
        <w:lastRenderedPageBreak/>
        <w:t>Spectrum Disorders. Computers &amp; Education, 58(1), 53–62.  http://dx.doi.org/10.1016/j.compedu.2011.07.013.</w:t>
      </w:r>
    </w:p>
    <w:p w:rsidR="00014DF2" w:rsidRDefault="008B4B57">
      <w:r>
        <w:t>Mitchell, P., Parsons, S., &amp; Leonard, A. (2007). Using virtual environments for teaching social understanding to 6 adolescents with autistic spectrum disorders. Journal of Autism and Development Disorders, 37(3), 589–600.</w:t>
      </w:r>
    </w:p>
    <w:p w:rsidR="00014DF2" w:rsidRDefault="008B4B57">
      <w:r>
        <w:t>Moore, D., &amp; Taylor, J. (2000). Interactive multimedia systems for students with autism. Journal of Educational Media, 25(3), 169–177.</w:t>
      </w:r>
    </w:p>
    <w:p w:rsidR="00014DF2" w:rsidRDefault="008B4B57">
      <w:r>
        <w:t xml:space="preserve">Ozonoff, S., Pennington, </w:t>
      </w:r>
      <w:proofErr w:type="gramStart"/>
      <w:r>
        <w:t>F.,B.</w:t>
      </w:r>
      <w:proofErr w:type="gramEnd"/>
      <w:r>
        <w:t>, &amp; Rogers, J.,S. (1991). Executive function deficits in high-functioning autistic individuals: relationship to Theory of Mind. Journals of Child Psychology and Psychiatry, 32(7), 1081–1105.</w:t>
      </w:r>
    </w:p>
    <w:p w:rsidR="00014DF2" w:rsidRDefault="008B4B57">
      <w:r>
        <w:t>26 J. Mintz / Computers &amp; Education 63 (2013) 17–27</w:t>
      </w:r>
    </w:p>
    <w:p w:rsidR="00014DF2" w:rsidRDefault="008B4B57">
      <w:r>
        <w:t>Parsons, S., Mitchell, P., &amp; Leonard, A. (2004). The use and understanding of virtual environments by adolescents with autistic spectrum disorders. Journal of Autism and Development Disorders, 34(4), 449–466.</w:t>
      </w:r>
    </w:p>
    <w:p w:rsidR="00014DF2" w:rsidRDefault="008B4B57">
      <w:r>
        <w:t>Patterson, D., Liao, L., Gajos, K., Collier, M., Livic, N., Olson, K., et al. (2004). In N. Davies, E. D. Mynatt, &amp; I. Siio (Eds.). UbiComp 2004: Ubiquitous computing, Vol. 3205 (pp. 433–450). Berlin, Heidelberg: Springer Berlin Heidelberg. http://dx.doi.org/10.1007/b99948.</w:t>
      </w:r>
    </w:p>
    <w:p w:rsidR="00014DF2" w:rsidRDefault="008B4B57">
      <w:r>
        <w:t>Ploug, T., Hasle, P., &amp; Oinas-Kukkonen, H. (Eds.), (2010). Proceedings of the 5th international conference on persuasive technology. New York: Springer.</w:t>
      </w:r>
    </w:p>
    <w:p w:rsidR="00014DF2" w:rsidRDefault="008B4B57">
      <w:r>
        <w:t>Rayner, C., Denholm, C., &amp; Sigafoos, J. (2009). Video-based intervention for individuals with autism: key questions that remain unanswered. Research in Autism Spectrum Disorders, 3(2), 291–303.</w:t>
      </w:r>
    </w:p>
    <w:p w:rsidR="00014DF2" w:rsidRDefault="008B4B57">
      <w:r>
        <w:t>Shea, V., &amp; Mesibov, G. (2005). Adolescents and adults with autism. In (3rd ed.). In F. R. Volkmar, R. Paul, A. Klin, &amp; D. Cohen (Eds.)., Handbook of autism and pervasive developmental disorders, Vol. 1 (pp. 288–311) Hoboken, NJ: Wiley.</w:t>
      </w:r>
    </w:p>
    <w:p w:rsidR="00014DF2" w:rsidRDefault="008B4B57">
      <w:r>
        <w:t>Tentori, M., &amp; Hayes, G. (2010). Designing for interaction immediacy to enhance social skills of children with autism. In J. Bardram, M. Langhenreich, K. Truong, &amp; P. Nixon</w:t>
      </w:r>
    </w:p>
    <w:p w:rsidR="00014DF2" w:rsidRDefault="008B4B57">
      <w:r>
        <w:t xml:space="preserve">(Eds.), Proceedings of the 12th ACM international conference on ubiquitous computing (pp. 51–60). New York, NY: The ACM Press. </w:t>
      </w:r>
      <w:hyperlink r:id="rId9">
        <w:r>
          <w:rPr>
            <w:color w:val="0563C1"/>
            <w:u w:val="single"/>
          </w:rPr>
          <w:t>http://dx.doi.org/10.1145/</w:t>
        </w:r>
      </w:hyperlink>
      <w:r>
        <w:t xml:space="preserve"> 1864349.1864359.</w:t>
      </w:r>
    </w:p>
    <w:p w:rsidR="00014DF2" w:rsidRDefault="008B4B57">
      <w:r>
        <w:t>Thweatt, K. S., &amp; McCroskey, J. C. (1998). The impact of teacher immediacy and misbehaviors on teacher credibility. Communication Education, 47, 348–358.</w:t>
      </w:r>
    </w:p>
    <w:p w:rsidR="00014DF2" w:rsidRDefault="008B4B57">
      <w:r>
        <w:t>Volkmar, F. R., Lord, C., Bailey, A., Schultz, R. T., &amp; Lin, A. (2004). Autism and pervasive developmental disorders. Journal of Child Psychology and Psychiatry, 45(1), 135–170.</w:t>
      </w:r>
    </w:p>
    <w:p w:rsidR="00014DF2" w:rsidRDefault="008B4B57">
      <w:r>
        <w:t>Wainer, A. L., &amp; Ingersoll, R. (2010). The use of innovative computer technology for teaching social communication to individuals with autism spectrum disorders. Research in Autism Spectrum Disorders, 5, 96–107.</w:t>
      </w:r>
    </w:p>
    <w:p w:rsidR="00014DF2" w:rsidRDefault="008B4B57">
      <w:r>
        <w:t xml:space="preserve">Wallace, S., Parsons, S., Westbury, A., White, K., White, K., &amp; Bailey, A. (2010). Sense of presence and atypical social judgments in immersive virtual environments. Responses of adolescents with Autism </w:t>
      </w:r>
      <w:r>
        <w:lastRenderedPageBreak/>
        <w:t>Spectrum Disorders. Autism: The International Journal of Research and Practice, 14(3), 199–213. http://dx.doi.org/10.1177/1362361310363283.</w:t>
      </w:r>
    </w:p>
    <w:p w:rsidR="00014DF2" w:rsidRDefault="008B4B57">
      <w:r>
        <w:t>Wing, L., &amp; Gould, J. (1979). Severe impairments of social interaction and associated abnormalities in children: epidemiology and classification. Journal of Autism and Developmental Disorders, 9, 11–29.</w:t>
      </w:r>
    </w:p>
    <w:p w:rsidR="00014DF2" w:rsidRDefault="008B4B57">
      <w:r>
        <w:t>Yin, K. (1981). The case study crisis: some answers. Administrative Science Quarterly, 26, 58–65</w:t>
      </w:r>
    </w:p>
    <w:sectPr w:rsidR="00014DF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FD" w:rsidRDefault="00D646FD">
      <w:pPr>
        <w:spacing w:after="0" w:line="240" w:lineRule="auto"/>
      </w:pPr>
      <w:r>
        <w:separator/>
      </w:r>
    </w:p>
  </w:endnote>
  <w:endnote w:type="continuationSeparator" w:id="0">
    <w:p w:rsidR="00D646FD" w:rsidRDefault="00D6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DF2" w:rsidRDefault="00014DF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DF2" w:rsidRDefault="00014DF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DF2" w:rsidRDefault="00014DF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FD" w:rsidRDefault="00D646FD">
      <w:pPr>
        <w:spacing w:after="0" w:line="240" w:lineRule="auto"/>
      </w:pPr>
      <w:r>
        <w:separator/>
      </w:r>
    </w:p>
  </w:footnote>
  <w:footnote w:type="continuationSeparator" w:id="0">
    <w:p w:rsidR="00D646FD" w:rsidRDefault="00D6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DF2" w:rsidRDefault="00014DF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DF2" w:rsidRDefault="008B4B57">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r>
      <w:rPr>
        <w:noProof/>
        <w:color w:val="000000"/>
        <w:lang w:val="en-US" w:eastAsia="en-US"/>
      </w:rPr>
      <w:drawing>
        <wp:inline distT="0" distB="0" distL="0" distR="0">
          <wp:extent cx="1353185" cy="762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3185" cy="762000"/>
                  </a:xfrm>
                  <a:prstGeom prst="rect">
                    <a:avLst/>
                  </a:prstGeom>
                  <a:ln/>
                </pic:spPr>
              </pic:pic>
            </a:graphicData>
          </a:graphic>
        </wp:inline>
      </w:drawing>
    </w:r>
    <w:r>
      <w:rPr>
        <w:noProof/>
        <w:color w:val="000000"/>
        <w:lang w:val="en-US" w:eastAsia="en-US"/>
      </w:rPr>
      <w:drawing>
        <wp:inline distT="0" distB="0" distL="0" distR="0">
          <wp:extent cx="981075" cy="581025"/>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981075" cy="581025"/>
                  </a:xfrm>
                  <a:prstGeom prst="rect">
                    <a:avLst/>
                  </a:prstGeom>
                  <a:ln/>
                </pic:spPr>
              </pic:pic>
            </a:graphicData>
          </a:graphic>
        </wp:inline>
      </w:drawing>
    </w:r>
    <w:r>
      <w:rPr>
        <w:noProof/>
        <w:color w:val="000000"/>
        <w:lang w:val="en-US" w:eastAsia="en-US"/>
      </w:rPr>
      <w:drawing>
        <wp:inline distT="0" distB="0" distL="0" distR="0">
          <wp:extent cx="2152015" cy="72517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152015" cy="7251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DF2" w:rsidRDefault="00014DF2">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F2"/>
    <w:rsid w:val="00014DF2"/>
    <w:rsid w:val="001C26B5"/>
    <w:rsid w:val="006E1B24"/>
    <w:rsid w:val="00830871"/>
    <w:rsid w:val="008B4B57"/>
    <w:rsid w:val="00B363D4"/>
    <w:rsid w:val="00D646FD"/>
    <w:rsid w:val="00E11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7E3D9-4393-4C36-A079-5111300A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47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765C"/>
  </w:style>
  <w:style w:type="paragraph" w:styleId="Footer">
    <w:name w:val="footer"/>
    <w:basedOn w:val="Normal"/>
    <w:link w:val="FooterChar"/>
    <w:uiPriority w:val="99"/>
    <w:unhideWhenUsed/>
    <w:rsid w:val="00847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65C"/>
  </w:style>
  <w:style w:type="character" w:styleId="Hyperlink">
    <w:name w:val="Hyperlink"/>
    <w:basedOn w:val="DefaultParagraphFont"/>
    <w:uiPriority w:val="99"/>
    <w:unhideWhenUsed/>
    <w:rsid w:val="00D205B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x.doi.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urora-projec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14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3tPVLqYZ6Yp3HyiZEpusUsOmSA==">AMUW2mVKQAsiyoickH3aOOtUzeavXxQANwqfLGgZi57aeinUDVlyee4TrbS50dSBSe23OwP7O8LnJXweGAe3sXHMSUpdbJiIsx38JtKT0xL4gftiSdQH5RScyUGav69YkoHfohK0yi3N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2022-04-29T13:46:00Z</dcterms:created>
  <dcterms:modified xsi:type="dcterms:W3CDTF">2022-04-29T13:46:00Z</dcterms:modified>
</cp:coreProperties>
</file>