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160" w:line="259"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after="160" w:line="259"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«Εξάλειψη του Κοινωνικού Αποκλεισμού» (EliSE)</w:t>
      </w:r>
    </w:p>
    <w:p w:rsidR="00000000" w:rsidDel="00000000" w:rsidP="00000000" w:rsidRDefault="00000000" w:rsidRPr="00000000" w14:paraId="00000006">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Αρ. 2019-1-LV01-KA204-060427</w:t>
      </w:r>
    </w:p>
    <w:p w:rsidR="00000000" w:rsidDel="00000000" w:rsidP="00000000" w:rsidRDefault="00000000" w:rsidRPr="00000000" w14:paraId="00000007">
      <w:pPr>
        <w:spacing w:after="160"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Fair Traveling &amp; Social Barriers</w:t>
      </w:r>
    </w:p>
    <w:p w:rsidR="00000000" w:rsidDel="00000000" w:rsidP="00000000" w:rsidRDefault="00000000" w:rsidRPr="00000000" w14:paraId="0000000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Το IO4 στοχεύει στη δημιουργία μιας διαδραστικής εργαλειοθήκης (η εργαλειοθήκη "Fair Traveling") για την υποστήριξη οικογενειών παιδιών με ειδικές ανάγκες όταν ταξιδεύουν καθώς και κοινωνικών παιδαγωγών. Το κύριο αποτέλεσμα είναι Συστάσεις για:</w:t>
      </w:r>
    </w:p>
    <w:p w:rsidR="00000000" w:rsidDel="00000000" w:rsidP="00000000" w:rsidRDefault="00000000" w:rsidRPr="00000000" w14:paraId="0000000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α) κοινωνικούς παιδαγωγούς.</w:t>
      </w:r>
    </w:p>
    <w:p w:rsidR="00000000" w:rsidDel="00000000" w:rsidP="00000000" w:rsidRDefault="00000000" w:rsidRPr="00000000" w14:paraId="0000000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β) κοινωνικές υπηρεσίες.</w:t>
      </w:r>
    </w:p>
    <w:p w:rsidR="00000000" w:rsidDel="00000000" w:rsidP="00000000" w:rsidRDefault="00000000" w:rsidRPr="00000000" w14:paraId="0000000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γ) εταιρείες παροχής ταξιδιωτικών υπηρεσιών.</w:t>
      </w:r>
    </w:p>
    <w:p w:rsidR="00000000" w:rsidDel="00000000" w:rsidP="00000000" w:rsidRDefault="00000000" w:rsidRPr="00000000" w14:paraId="0000000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Η διαδραστική εργαλειοθήκη βασίζεται στις δυσκολίες που μελετήθηκαν από το IO1 για τους γονείς για την ενεργό συμμετοχή (τη δική τους και των παιδιών τους) στην κοινωνική ζωή:</w:t>
      </w:r>
    </w:p>
    <w:p w:rsidR="00000000" w:rsidDel="00000000" w:rsidP="00000000" w:rsidRDefault="00000000" w:rsidRPr="00000000" w14:paraId="0000000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1. Δύσκολη κινητικότητα του παιδιού και της οικογένειας</w:t>
      </w:r>
    </w:p>
    <w:p w:rsidR="00000000" w:rsidDel="00000000" w:rsidP="00000000" w:rsidRDefault="00000000" w:rsidRPr="00000000" w14:paraId="0000000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2. Έλλειψη προσβασιμότητας στο περιβάλλον</w:t>
      </w:r>
    </w:p>
    <w:p w:rsidR="00000000" w:rsidDel="00000000" w:rsidP="00000000" w:rsidRDefault="00000000" w:rsidRPr="00000000" w14:paraId="0000000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3. Προβλήματα με το συμπεριφορά του παιδιού σε δημόσιους χώρους</w:t>
      </w:r>
    </w:p>
    <w:p w:rsidR="00000000" w:rsidDel="00000000" w:rsidP="00000000" w:rsidRDefault="00000000" w:rsidRPr="00000000" w14:paraId="0000001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4. Αντίληψη αρνητικής δημόσιας ανταπόκρισης και έλλειψη αποδοχής από την κοινότητα</w:t>
      </w:r>
    </w:p>
    <w:p w:rsidR="00000000" w:rsidDel="00000000" w:rsidP="00000000" w:rsidRDefault="00000000" w:rsidRPr="00000000" w14:paraId="0000001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5. Ασφάλεια των παιδιών σε δημόσιους χώρους </w:t>
      </w:r>
    </w:p>
    <w:p w:rsidR="00000000" w:rsidDel="00000000" w:rsidP="00000000" w:rsidRDefault="00000000" w:rsidRPr="00000000" w14:paraId="0000001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Τελευταία υπάρχει αυξανόμενο ενδιαφέρον για τις δυνατότητες της τεχνολογίας για την υποστήριξη παιδιών με διαταραχές αυτιστικού φάσματος (ΔΑΦ) με κοινωνικές και δεξιότητες ζωής. Υπήρξε επίσης ένα αυξανόμενο ενδιαφέρον για την πιθανή χρήση της κινητής τεχνολογίας στην τάξη και για τη χρήση αυτής της τεχνολογίας για την υποστήριξη παιδιών με ΔΑΦ. Βασιζόμενο σε αυτές τις εξελίξεις, το έργο EliSE έχει αναπτύξει μια εφαρμογή υποστήριξης εργαλειοθήκης για κινητά για smartphone, βασισμένη στις αρχές του πειστικού σχεδιασμού τεχνολογίας, η οποία υποστηρίζει παιδιά με ΔΑΦ με λειτουργικές κοινωνικές και δεξιότητες ζωής – τομείς ικανοτήτων που τείνουν να είναι μειωμένοι σε αυτόν τον πληθυσμό . Τα δεδομένα συλλέχθηκαν με χρήση από δασκάλους χρησιμοποιώντας άμεση παρατήρηση στην τάξη, ατομικές ημιδομημένες συνεντεύξεις και ερωτηματολόγια. Χρησιμοποιήθηκαν επίσης ημιδομημένες συνεντεύξεις για τη συλλογή δεδομένων από ορισμένους γονείς και παιδιά. Εντοπίζονται επίσης νέοι παράγοντες, συμπεριλαμβανομένης της ευαισθητοποίησης των μαθητών για τις δυσκολίες και των σχετικών κινήτρων για αλλαγή, και η προτίμηση ορισμένων παιδιών με ΔΑΦ να λαμβάνουν πειστικά μηνύματα από κινητές συσκευές. Εξετάζονται ιδιαίτερα ζητήματα που σχετίζονται με τη γνωστική δομή των παιδιών με ΔΑΦ. Προτείνονται περαιτέρω οδηγίες σχεδίασης για μελλοντικές εφαρμογές τεχνολογικών εργαλείων με παρόμοιο σκοπό, η επίγνωση των δυσκολιών και των σχετικών κινήτρων για αλλαγή των μαθητών και η προτίμηση ορισμένων παιδιών με ΔΑΦ να λαμβάνουν πειστικά μηνύματα από κινητές συσκευές. Η ύπαρξη ΔΑΦ, κατά συνέπεια, οδηγεί σε πολύ υψηλό κίνδυνο περιθωριοποίησης και κοινωνικού αποκλεισμού, με την εφηβεία και την πρώιμη ενήλικη ζωή να αποτελούν ιδιαίτερα </w:t>
      </w:r>
    </w:p>
    <w:p w:rsidR="00000000" w:rsidDel="00000000" w:rsidP="00000000" w:rsidRDefault="00000000" w:rsidRPr="00000000" w14:paraId="00000013">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κρίσιμες περιόδους για τα άτομα με ΔΑΦ. Έχουν πολύ μειωμένες πιθανότητες να βρουν επαρκείς θέσεις εργασίας (και καθόλου θέσεις εργασίας), να διαχειριστούν μια ανεξάρτητη ζωή και να δημιουργήσουν μακροχρόνιες διαπροσωπικές σχέσεις.</w:t>
      </w:r>
    </w:p>
    <w:p w:rsidR="00000000" w:rsidDel="00000000" w:rsidP="00000000" w:rsidRDefault="00000000" w:rsidRPr="00000000" w14:paraId="0000001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Υπάρχει παράλληλο ενδιαφέρον για τη χρήση της κινητής τεχνολογίας για την υποστήριξη ατόμων με γνωστικές αναπηρίες λόγω τραυματικού εγκεφαλικού τραυματισμού, εγκεφαλικού επεισοδίου ή νόσου Αλτσχάιμερ, ιδίως όσον αφορά την παροχή υποστήριξης για ταξίδια. Το πρωτότυπο MAPS-Lifeline (Carmien, 2004; Carmien et al., 2005) δημιούργησε ένα σύστημα κινητής συσκευής βασισμένο σε GPS, το οποίο περιλάμβανε δυναμική παρακολούθηση από τους φροντιστές. Ο Lindström (2007) αναφέρει σχετικά με σουηδικές δοκιμές συστημάτων υποβοήθησης πλοήγησης που βασίζονται σε κινητή τεχνολογία και GPS για άτομα με γνωστικές αναπηρίες. Οι αναφορές χρηστών έδειξαν ότι η αξιοπιστία και η ευκολία χρήσης ήταν προτεραιότητες σχεδιασμού. Το έργο Opportunity Knocks (Patterson et al., 2004) δημιούργησε μια εφαρμογή με βάση το GPS για κινητά για να παρέχει γνωστική βοήθεια σε χρήστες με γνωστικές αναπηρίες που χρησιμοποιούν τα μέσα μαζικής μεταφοράς. Το σύστημα εντόπισε αυτόματα τον τρέχοντα τρόπο μεταφοράς του χρήστη και χρησιμοποιώντας έναν ευρετικό αλγόριθμο εκμάθησης, εντόπισε όταν ο χρήστης κάνει κάτι απροσδόκητο, όπως χάνει τον συνήθη σιδηροδρομικό σταθμό του. Brown et al. (2011) αναφέρουν την ανάπτυξη και την αξιολόγηση ενός αρχικού πρωτοτύπου μιας εφαρμογής Android με βάση το GPS για την υποστήριξη της πλοήγησης διαδρομής με βάση σοβαρά παιχνίδια. Οι χρήστες με νοητικές αναπηρίες και αισθητηριακές αναπηρίες έκαναν πρόβα πιθανών διαδρομών χρησιμοποιώντας τα παιχνίδια εφαρμογών, μειώνοντας ενδεχομένως την εξάρτηση από την ανάγκη για καθοδήγηση και υποστήριξη κατά τη διάρκεια του ταξιδιού.</w:t>
      </w:r>
    </w:p>
    <w:p w:rsidR="00000000" w:rsidDel="00000000" w:rsidP="00000000" w:rsidRDefault="00000000" w:rsidRPr="00000000" w14:paraId="0000001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Το λογισμικό HANDS αποτελείται από μια ευέλικτη εργαλειοθήκη βασισμένη στον ιστό που χρησιμοποιούν οι δάσκαλοι για να αναπτύξουν συγκεκριμένες αλληλουχίες υποστήριξης και παρέμβασης ειδικά για τις ανάγκες κάθε παιδιού. Αυτές οι ακολουθίες αποτελούνται από μια σειρά συνδεδεμένων οθονών, καθεμία από τις οποίες μπορεί να περιλαμβάνει προσαρμόσιμο κείμενο, εικόνες, βίντεο και ήχο. Αυτές οι προσαρμοσμένες ακολουθίες "Personal Trainer" μπορούν να συνδεθούν με τη σχετική ολοκληρωμένη λειτουργία ημερολογίου που περιλαμβάνεται επίσης στο λογισμικό. Οι ακολουθίες του Personal Trainer μπορούν να αποθηκευτούν ως πρότυπα και μια λειτουργία κοινής χρήσης επιτρέπει στους δασκάλους να προσαρμόζουν τις υπάρχουσες ακολουθίες για άλλα παιδιά. Το σύστημα περιλαμβάνει επίσης μια δυνατότητα ηλεκτρονικού αποτυπώματος που δημιουργεί ένα αρχείο καταγραφής για κάθε χρήση της εφαρμογής για κινητά από το παιδί. Η εφαρμογή αναπτύχθηκε χρησιμοποιώντας Windows Dynamic Mobile και τα smartphone που χρησιμοποιήθηκαν περιελάμβαναν το HTC Diamond και το HTC Touch HD. Πραγματοποιήθηκε επίσης μια πιλοτική εφαρμογή στο Android 2.2. Η πρόθεση των σχεδιαστών κατά την εφαρμογή αυτού είναι να πείσουν τους χρήστες να είναι δίκαιοι και ειλικρινείς στις συναλλαγές τους στον ιστότοπο. Το HANDS ήταν ένα από τα πρώτα έργα που εφάρμοσε το Pesuasive Technology Design για χρήση σε εκπαιδευτικά περιβάλλοντα. Με βάση την ποιοτική αξιολόγηση του πρώτου πρωτοτύπου (Mintz et al., 2012), εισήχθησαν ορισμένες βελτιώσεις τόσο στη διαδικασία σχεδιασμού όσο και στη διαδικασία υλοποίησης για το δεύτερο πρωτότυπο HANDS («Prototype 2»), το οποίο αναπτύχθηκε το καλοκαίρι. του 2010. Αυτές οι βελτιώσεις περιελάμβαναν μια πιο διαισθητική και λιγότερο ακατάστατη γραφική διεπαφή χρήστη. Επιπλέον, λόγω της πιο εκτεταμένης δοκιμής beta με τους δασκάλους πριν από την κυκλοφορία της εφαρμογής στα παιδιά για χρήση, υπήρξε επίσης σημαντικά υψηλότερος βαθμός τεχνικής σταθερότητας. Με βάση τη συγκέντρωση και την ανταλλαγή της εμπειρίας των δασκάλων από τη χρήση του Πρωτότυπου 1, υπήρξε επίσης ένα βελτιωμένο διαδικτυακό σύστημα καθοδήγησης που περιλάμβανε παιδαγωγικές περιπτωσιολογικές μελέτες βασισμένες σε περιπτώσεις επιτυχούς χρήσης και μια βιβλιοθήκη εικόνων με δυνατότητα κοινής χρήσης. Η ανταλλαγή της συνεχούς ανάπτυξης της χρήσης βέλτιστων πρακτικών μεταξύ των δασκάλων διευκολύνθηκε επίσης από τακτικές διαδικτυακές συναντήσεις όπου μοιράζονταν εμπειρίες με μεμονωμένα παιδιά. Ζητήθηκε από τους εκπαιδευτικούς να χρησιμοποιήσουν τα παραδείγματα βέλτιστων πρακτικών που προέκυψαν από την εμπειρία στο Πρωτότυπο 1 και να επιλέξουν μια σχετική κατάσταση που σχετίζεται με δεξιότητες ζωής και μια κατάσταση σχετική με τις κοινωνικές δεξιότητες που αποδείχτηκε δύσκολη για το παιδί. Για παράδειγμα, για ένα παιδί η εργασία δεξιοτήτων ζωής ήταν να μπει στο λεωφορείο ανεξάρτητα και η εργασία κοινωνικής δεξιότητας ήταν να χρησιμοποιήσει το τηλέφωνο και να περάσει ένα μήνυμα στον δάσκαλό του. Οι δάσκαλοι ανέλαβαν την πρωταρχική ευθύνη για το σχεδιασμό παρεμβάσεων για την υποστήριξη της λειτουργίας ζωής ή κοινωνικών δεξιοτήτων στο πλαίσιο αυτών των καταστάσεων. </w:t>
      </w:r>
    </w:p>
    <w:p w:rsidR="00000000" w:rsidDel="00000000" w:rsidP="00000000" w:rsidRDefault="00000000" w:rsidRPr="00000000" w14:paraId="0000001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Ο αυτισμός χαρακτηρίζεται από διαφορές στις κοινωνικές δεξιότητες, περιορισμένες επικοινωνιακές ικανότητες και επαναλαμβανόμενη συμπεριφορά, που συχνά οδηγούν σε αυξημένη εξάρτηση από άλλους ανθρώπους. Η μεταφορά είναι μόνο ένα έργο που συνήθως επιβαρύνει τα μέλη της οικογένειας. Οι δημόσιες συγκοινωνίες είναι μια φθηνή και ευρέως διαθέσιμη μορφή ταξιδιού που διευκολύνει την ανεξαρτησία. Ωστόσο, παρουσιάζει μοναδικές προκλήσεις για τα άτομα στο φάσμα, καθώς απαιτεί πολύπλοκες δεξιότητες που περιλαμβάνουν, ενδεικτικά, την κατανόηση αφηρημένων πληροφοριών (π.χ. χάρτες, χρονοδιαγράμματα υπηρεσιών κ.λπ.), την επίλυση προβλημάτων απροσδόκητων καταστάσεων και την έγκαιρη διαχείριση των μεταφορών. Ως εκ τούτου, τα περισσότερα άτομα στο φάσμα του αυτισμού δεν χρησιμοποιούν τα μέσα μαζικής μεταφοράς και δεν έχουν ποτέ σκεφτεί να τα χρησιμοποιήσουν. Εδώ αξιολογούμε την αποτελεσματικότητα μιας εφαρμογής δημόσιων μεταφορών ειδικά για τον αυτισμό, το OrienTrip, με αυτιστικά άτομα και συνεργαζόμενους επαγγελματίες υγείας. Διαπίστωσε ότι το OrienTrip είναι αποτελεσματικό στη διευκόλυνση της χρήσης των μέσων μαζικής μεταφοράς για αυτιστικά άτομα. Άτομα στο φάσμα του αυτισμού εξέφρασαν την ικανοποίησή τους για την εφαρμογή και συμφώνησαν ότι κάνει τα μέσα μαζικής μεταφοράς εύχρηστα. Ομοίως, οι σύμμαχοι επαγγελματίες υγείας ανέφεραν επίσης ότι το OrienTrip είναι χρήσιμο για να βοηθήσει τα αυτιστικά άτομα να χρησιμοποιούν τα δημόσια μέσα μεταφοράς με ασφάλεια. Ο αυτισμός είναι μια κατάσταση που χαρακτηρίζεται από διαφορές στις κοινωνικές δεξιότητες, περιορισμένες επικοινωνιακές ικανότητες και επαναλαμβανόμενη συμπεριφορά, που συχνά οδηγούν σε αυξημένη εξάρτηση από άλλους ανθρώπους για καθημερινές πρακτικές. Η μεταφορά είναι μόνο ένα έργο που συνήθως επιβαρύνει τα μέλη της οικογένειας. Οι δημόσιες συγκοινωνίες είναι μια φθηνή και ευρέως διαθέσιμη μορφή κινητικότητας, η οποία διευκολύνει την ανεξαρτησία και απαλλάσσει το βάρος του υποβοηθούμενου ταξιδιού. Σημείωσε επίσης την υποστήριξη μεταξύ των κοινοτήτων αυτισμού για την ικανότητά του να παρέχει μεγαλύτερη αυτονομία και να βελτιώνει την ποιότητα ζωής. Ωστόσο, αυτή η μορφή ταξιδιού παρουσιάζει μοναδικές προκλήσεις για τα άτομα στο φάσμα, καθώς απαιτεί δεξιότητες που περιλαμβάνουν, ενδεικτικά, την κατανόηση αφηρημένων πληροφοριών (όπως χάρτες, χρονοδιαγράμματα υπηρεσιών, πινακίδες και ορόσημα), επίλυση προβλημάτων απροσδόκητων καταστάσεων και έγκαιρη διαχείριση των μεταγραφών. Ως εκ τούτου, έχουμε αναπτύξει μια εφαρμογή για φορητές συσκευές σχεδιασμού ταξιδιών με δημόσια μέσα μεταφοράς που ονομάζεται OrienTrip, η οποία δημιουργήθηκε από κοινού με αυτιστικά άτομα, για να διευκολύνουμε τη χρήση των μέσων μαζικής μεταφοράς για άτομα στο φάσμα του αυτισμού. Εδώ, αξιολογούμε την αποτελεσματικότητα και την αποτελεσματικότητα του OrienTrip μέσω δύο πιλοτικών μελετών. Το OrienTrip είναι μια εφαρμογή για φορητές συσκευές προγραμματισμού ταξιδιών για τα μέσα μαζικής μεταφοράς που συμπαράγεται από αυτιστικά άτομα για να διευκολύνει τα ανεξάρτητα ταξίδια για άτομα στο φάσμα του αυτισμού. Πέντε αρχές καθοδήγησαν τη διαδικασία ανάπτυξης. Αυτά είναι (1) η ασφάλεια, (2) η αύξηση της χωρικής επίγνωσης, (3) η διευκόλυνση της επικοινωνίας, (4) η ανακούφιση από το άγχος και η αισθητηριακή υπερφόρτωση και (5) η απλοποίηση του προγραμματισμού ταξιδιού.</w:t>
      </w:r>
    </w:p>
    <w:p w:rsidR="00000000" w:rsidDel="00000000" w:rsidP="00000000" w:rsidRDefault="00000000" w:rsidRPr="00000000" w14:paraId="0000001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Εμπόδια κινητικότητας</w:t>
      </w:r>
    </w:p>
    <w:p w:rsidR="00000000" w:rsidDel="00000000" w:rsidP="00000000" w:rsidRDefault="00000000" w:rsidRPr="00000000" w14:paraId="0000001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Ο πιο σημαντικός στόχος της έρευνας ήταν να εντοπίσει τα εμπόδια κινητικότητας που συναντούν οι ενήλικες με ΔΑΦ. Σχετικές με αυτόν τον στόχο, συμπεριλήφθηκαν στην έρευνα μια σειρά από ερωτήσεις που αφορούσαν ζητήματα που σχετίζονται με τη χρήση ενός συγκεκριμένου τρόπου λειτουργίας, όπως το περπάτημα, η οδήγηση, η οδήγηση από άλλους και η δημόσια συγκοινωνία. Οι απαντήσεις από την έρευνα συνοψίζονται παρακάτω για κάθε τρόπο λειτουργίας.</w:t>
      </w:r>
    </w:p>
    <w:p w:rsidR="00000000" w:rsidDel="00000000" w:rsidP="00000000" w:rsidRDefault="00000000" w:rsidRPr="00000000" w14:paraId="0000001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Εμπόδια στο περπάτημα</w:t>
      </w:r>
    </w:p>
    <w:p w:rsidR="00000000" w:rsidDel="00000000" w:rsidP="00000000" w:rsidRDefault="00000000" w:rsidRPr="00000000" w14:paraId="0000001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Στην έρευνα δόθηκε στους ερωτηθέντες μια λίστα με πιθανά εμπόδια που θα μπορούσαν να τους εμποδίσουν να περπατήσουν στη γειτονιά τους. Η λίστα περιελάμβανε την απουσία ή κακή ποιότητα πεζοδρομίων, την απουσία φώτων, την κακή ποιότητα διασταυρώσεων ή διασταυρώσεων δρόμων, την ταχύτητα και τον όγκο της κυκλοφορίας, την εγκληματικότητα και την απουσία κοντινών προορισμών. Επιπλέον, οι ερωτηθέντες είχαν τη δυνατότητα να επιλέξουν μια ξεχωριστή κατηγορία που ονομάζεται "Άλλο" και να καθορίσουν εμπόδια που δεν υπήρχαν στη λίστα. Τα εμπόδια που επιλέχθηκαν από τους περισσότερους ερωτηθέντες από τη λίστα ήταν η απουσία προορισμών (25,0% των ερωτηθέντων), η ταχύτητα και ο όγκος της κυκλοφορίας (24,9%) και η απουσία ή κακή ποιότητα πεζοδρομίων (17,4%). Τα εμπόδια που επιλέχθηκαν λιγότερο συχνά ήταν η εγκληματικότητα (5,3% ερωτηθέντων), η απουσία φώτων (8,7%) και η κακή ποιότητα διασταυρώσεων και διασταυρώσεων (11,9%). Ίσως το πιο σημαντικό, το 28,2% των ερωτηθέντων επέλεξε την κατηγορία «Άλλα» και καθόρισε πάντα τις αναπηρίες τους που σχετίζονται με την αναπηρία ως εμπόδια στο περπάτημα. Έτσι, αν και οι απαντήσεις έδειξαν ότι ορισμένα από τα περιβαλλοντικά εμπόδια στο περπάτημα που συναντά ο γενικός πληθυσμός αντιμετωπίζονται επίσης από άτομα με ΔΑΦ, τα τελευταία αντιμετωπίζουν επιπλέον εμπόδια λόγω των αναπηριών τους.</w:t>
      </w:r>
    </w:p>
    <w:p w:rsidR="00000000" w:rsidDel="00000000" w:rsidP="00000000" w:rsidRDefault="00000000" w:rsidRPr="00000000" w14:paraId="0000001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Αν και τα άτομα χωρίς ΔΑΦ μπορεί να μην θεωρούν ότι το περπάτημα στη γειτονιά τους είναι μια δύσκολη εργασία, το περπάτημα απαιτεί ορισμένες δεξιότητες και ικανότητες που πολλά άτομα με ΔΑΦ δεν έχουν. Για να εξεταστεί εάν οι ερωτηθέντες είχαν τις κρίσιμες δεξιότητες για να περπατήσουν με ασφάλεια στις γειτονιές τους, ρωτήθηκαν εάν είχαν κάποια δυσκολία με διάφορες πτυχές του περπατήματος. Για άλλη μια φορά, τους δόθηκε ένας κατάλογος και τους δόθηκε εντολή να υποδείξουν εάν είχαν δυσκολίες με μία ή περισσότερες πτυχές. Οι απαντήσεις συνοψίζονται στον Πίνακα 5. Είναι προφανές από τις απαντήσεις ότι τέτοιες βασικές δεξιότητες όπως η διέλευση δρόμων, η κρίση της απόστασης του οχήματος και ο καθορισμός κατεύθυνσης, που τα άτομα στο γενικό πληθυσμό θεωρούν δεδομένες, είναι δύσκολες για ένα μεγάλο ποσοστό ατόμων με ΔΑΦ. . Επιπλέον, ένα σημαντικό ποσοστό ατόμων με ΔΑΦ πρέπει επίσης να αντιμετωπίσει περισπασμούς κατά το περπάτημα λόγω της αναπηρίας τους. Εξαιτίας αυτών των δυσκολιών, το 53,5% των ερωτηθέντων δήλωσαν απαντώντας σε άλλη ερώτηση ότι δεν ήξεραν πώς να διασχίσουν με ασφάλεια έναν δρόμο χωρίς βοήθεια από άλλους.</w:t>
      </w:r>
    </w:p>
    <w:p w:rsidR="00000000" w:rsidDel="00000000" w:rsidP="00000000" w:rsidRDefault="00000000" w:rsidRPr="00000000" w14:paraId="0000001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Εμπόδια στην οδήγηση Η</w:t>
      </w:r>
    </w:p>
    <w:p w:rsidR="00000000" w:rsidDel="00000000" w:rsidP="00000000" w:rsidRDefault="00000000" w:rsidRPr="00000000" w14:paraId="0000001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μη διαθεσιμότητα οχημάτων στα νοικοκυριά τους δεν αποτελεί εμπόδιο στην οδήγηση για τους περισσότερους ερωτηθέντες ενήλικες με ΔΑΦ. Η έρευνα αποκάλυψε ότι μόνο το 3,6% των ερωτηθέντων ζούσε σε νοικοκυριά χωρίς οχήματα. Το 26,4% ζούσε σε νοικοκυριά με ένα όχημα, το 46,9% ζούσε σε νοικοκυριά με δύο οχήματα και το 23,1% ζούσε σε νοικοκυριά με τρία ή περισσότερα οχήματα. Ωστόσο, μόνο το 9,3% των ενηλίκων με ΔΑΦ είχε άδεια οδήγησης και πολλοί το χρησιμοποιούσαν μόνο ως ταυτότητα αντί για πραγματική άδεια οδήγησης. Από τα 47 άτομα που είχαν δίπλωμα οδήγησης, το 61,4% ανέφερε ότι είχε κάποια μορφή δυσκολίας κατά την οδήγηση. Απαντώντας σε ερώτηση σχετικά με συγκεκριμένες δυσκολίες, το 55,3% των ατόμων με δίπλωμα οδήγησης ανέφερε δυσκολία στην κίνηση, το 34,0% ανέφερε δυσκολία που προκαλείται από περισπασμούς κοντά σε δρόμους, 27,7% ανέφερε δυσκολία κρίσης απόστασης και άλλο 27,7% ανέφερε δυσκολία στο παρκάρισμα . Λόγω αυτών των δυσκολιών, το 26,1% όσων είχαν δίπλωμα οδήγησης δεν οδηγούσε καθόλου, το 19,6% οδηγούσε λιγότερο από μία φορά την εβδομάδα, το 30,4% οδήγησε μία ή περισσότερες φορές την εβδομάδα και μόνο το 23,9% οδηγούσε καθημερινά.</w:t>
      </w:r>
    </w:p>
    <w:p w:rsidR="00000000" w:rsidDel="00000000" w:rsidP="00000000" w:rsidRDefault="00000000" w:rsidRPr="00000000" w14:paraId="0000001F">
      <w:pPr>
        <w:spacing w:after="160" w:line="259"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Συστάσεις</w:t>
      </w:r>
    </w:p>
    <w:p w:rsidR="00000000" w:rsidDel="00000000" w:rsidP="00000000" w:rsidRDefault="00000000" w:rsidRPr="00000000" w14:paraId="00000020">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Κατευθυντήρια γραμμή 1: εργασία με τα παιδιά για τον εντοπισμό των αναγκών</w:t>
      </w:r>
    </w:p>
    <w:p w:rsidR="00000000" w:rsidDel="00000000" w:rsidP="00000000" w:rsidRDefault="00000000" w:rsidRPr="00000000" w14:paraId="0000002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Η αξιολόγησή μας δείχνει ότι, σύμφωνα με τη γενική βιβλιογραφία για την πειστική τεχνολογία, οι κινητές επεμβάσεις πειθούς για παιδιά και νέους με ΔΑΦ είναι πιο πιθανό να είναι αποτελεσματικές εάν το παιδί γνωρίζει και τα δύο: α) δυσκολία/θέμα και αναγνωρίζει ως τέτοιο, και β) παρακινείται να επιτύχει θετική αλλαγή συμπεριφοράς. Οι εκπαιδευτικοί θα πρέπει να αναπτύξουν παρεμβάσεις για παρόμοια συστήματα με βάση την αναγνώριση του γεγονότος ότι η επίγνωση των αναγκών των μαθητών και τα εσωτερικά κίνητρα για αλλαγή συμπεριφοράς είναι βασικός παράγοντας διαμεσολάβησης. Αντί να ξεκινούν από τη θέση του «ο δάσκαλος ξέρει καλύτερα», θα πρέπει να συνεργάζονται με παιδιά και νέους για να εντοπίσουν παρεμβάσεις που το ίδιο το παιδί ή ο νεαρός συναινεί. Περαιτέρω, θα πρέπει να δοθεί ιδιαίτερη προσοχή, στις σχολικές εφαρμογές, τέτοιων συστημάτων, στην αύξηση της αυτονομίας του παιδιού ή του νεαρού ατόμου όσον αφορά το επίπεδο ελέγχου των παρεμβάσεων που αναπτύσσονται για αυτούς σε συστήματα τύπου HANDS. </w:t>
      </w:r>
    </w:p>
    <w:p w:rsidR="00000000" w:rsidDel="00000000" w:rsidP="00000000" w:rsidRDefault="00000000" w:rsidRPr="00000000" w14:paraId="0000002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Παρόλο που θα απαιτείται πάντα κάποιο επίπεδο επίβλεψης και διευκόλυνσης από ενήλικες σε εφαρμογές που βασίζονται στο σχολείο, η ισορροπία θα πρέπει να «γείρει» περαιτέρω προς τον έλεγχο του ίδιου του παιδιού για την ανάπτυξη των παρεμβάσεων.</w:t>
      </w:r>
    </w:p>
    <w:p w:rsidR="00000000" w:rsidDel="00000000" w:rsidP="00000000" w:rsidRDefault="00000000" w:rsidRPr="00000000" w14:paraId="00000023">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Κατευθυντήρια γραμμή 2: προσδιορισμός των παιδιών που θα ωφεληθούν περισσότερο</w:t>
      </w:r>
    </w:p>
    <w:p w:rsidR="00000000" w:rsidDel="00000000" w:rsidP="00000000" w:rsidRDefault="00000000" w:rsidRPr="00000000" w14:paraId="0000002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Στην Οδηγία 1, συνιστούμε στους δασκάλους να επικεντρωθούν στον εντοπισμό των αναγκών από την οπτική γωνία του παιδιού. Αυτό είναι σαφώς κρίσιμο, ωστόσο, ορισμένα παιδιά, λόγω γνωστικών διαταραχών, θα δυσκολεύονται πολύ περισσότερο να συνειδητοποιήσουν τις κοινωνικές δυσκολίες και τις δυσκολίες δεξιοτήτων ζωής που είναι σημαντικοί παράγοντες που συμβάλλουν στον αποκλεισμό τους από τις εκπαιδευτικές και κοινωνικές ευκαιρίες. Σε τέτοιες περιπτώσεις, η δημιουργία μηνυμάτων συμπεριφοράς σε συστήματα που μοιάζουν με τα HANDS δεν είναι πιθανό να συμβάλει στην επίτευξη θετικής αλλαγής συμπεριφοράς.</w:t>
      </w:r>
    </w:p>
    <w:p w:rsidR="00000000" w:rsidDel="00000000" w:rsidP="00000000" w:rsidRDefault="00000000" w:rsidRPr="00000000" w14:paraId="00000025">
      <w:pPr>
        <w:spacing w:after="160" w:line="259" w:lineRule="auto"/>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Εναλλακτικά, η αξιολόγησή μας δείχνει ότι ορισμένα παιδιά με ΔΑΦ μπορεί να είναι ιδιαίτερα κατάλληλα για τη χρήση αυτής της τεχνολογίας. Τα παιδιά που έχουν επίγνωση των δυσκολιών κοινωνικών δεξιοτήτων και δεξιοτήτων ζωής που αποδεικνύονται εμπόδια στην ένταξη, και τα οποία παρακινούνται ταυτόχρονα για αλλαγή συμπεριφοράς, είναι πολύ πιο πιθανό να αποδειχθούν δεκτικά. Επιπλέον, η διαπίστωσή μας ότι ορισμένοι νέοι με ΔΑΦ μπορεί να προτιμούν να λαμβάνουν μηνύματα αλλαγής συμπεριφοράς από κινητές συσκευές παρά από ενήλικες είναι ιδιαίτερα σημαντική, ειδικά δεδομένης της ύπαρξης δύο πιθανών επεξηγηματικών λογαριασμών για αυτό το φαινόμενο. Ο πρώτος από αυτούς τους λογαριασμούς, μια υποκείμενη έκπτωση στις ταχύτητες γνωστικής επεξεργασίας, θα μπορούσε επίσης να έχει πιθανή εφαρμογή σε άλλες ομάδες με αυτό το είδος έκπτωσης, όπως οι νέοι με Διαταραχή Ελλειμματικής Προσοχής/Υπερκινητικότητας (βλ. Mayes &amp; Calhoun, 2007). Ο δεύτερος λογαριασμός, ο οποίος εξηγεί την προτίμηση που βασίζεται στην επιθυμία του νέου για αυτονομία, δηλαδή είναι καλύτερο από το να τον γκρινιάζει ο δάσκαλός σας, τονίζει περαιτέρω την ανάγκη να τονίσετε περισσότερο τις απόψεις των νέων με ΔΑΦ όταν λαμβάνετε αποφάσεις σχετικά με το ποιες παρεμβάσεις θα την εφαρμογή και τον τρόπο δομής τους.</w:t>
      </w:r>
    </w:p>
    <w:p w:rsidR="00000000" w:rsidDel="00000000" w:rsidP="00000000" w:rsidRDefault="00000000" w:rsidRPr="00000000" w14:paraId="00000026">
      <w:pPr>
        <w:spacing w:after="160"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Παραπομπές</w:t>
      </w:r>
    </w:p>
    <w:p w:rsidR="00000000" w:rsidDel="00000000" w:rsidP="00000000" w:rsidRDefault="00000000" w:rsidRPr="00000000" w14:paraId="0000002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Amber, N., Schrodt, P., Witt, P., Elledge, N., Jernberg, K., &amp; Larson, L. (2009). Μια μετα-αναλυτική ανασκόπηση της αξιοπιστίας των εκπαιδευτικών και των συσχετισμών της με τις συμπεριφορές των εκπαιδευτικών και τα αποτελέσματα των μαθητών. Communication Education, 58(4), 516–537. </w:t>
      </w:r>
    </w:p>
    <w:p w:rsidR="00000000" w:rsidDel="00000000" w:rsidP="00000000" w:rsidRDefault="00000000" w:rsidRPr="00000000" w14:paraId="0000002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Αυγή. (2000). Το έργο Aurora. Ανακτήθηκε 25.11.11, από. ενημερώθηκε το 2008. </w:t>
      </w:r>
      <w:hyperlink r:id="rId6">
        <w:r w:rsidDel="00000000" w:rsidR="00000000" w:rsidRPr="00000000">
          <w:rPr>
            <w:rFonts w:ascii="Calibri" w:cs="Calibri" w:eastAsia="Calibri" w:hAnsi="Calibri"/>
            <w:color w:val="0563c1"/>
            <w:u w:val="single"/>
            <w:rtl w:val="0"/>
          </w:rPr>
          <w:t xml:space="preserve">http://www.aurora-project.com</w:t>
        </w:r>
      </w:hyperlink>
      <w:r w:rsidDel="00000000" w:rsidR="00000000" w:rsidRPr="00000000">
        <w:rPr>
          <w:rFonts w:ascii="Calibri" w:cs="Calibri" w:eastAsia="Calibri" w:hAnsi="Calibri"/>
          <w:rtl w:val="0"/>
        </w:rPr>
        <w:t xml:space="preserve">. Bandura, Α. (1977). Αυτο-αποτελεσματικότητα: προς μια ενοποιητική θεωρία αλλαγής συμπεριφοράς. Psychological Review, 84(2), 191–215. http://dx.doi.org/10.1037/0033-295X.84.2.191, American Psychological Association.</w:t>
      </w:r>
    </w:p>
    <w:p w:rsidR="00000000" w:rsidDel="00000000" w:rsidP="00000000" w:rsidRDefault="00000000" w:rsidRPr="00000000" w14:paraId="0000002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Bandura, Α. (1986). Το επεξηγηματικό και προγνωστικό πεδίο της θεωρίας της αυτοαποτελεσματικότητας. Journal of Social and Clinical Psychology, 4(3), 359–373, Guilford Publications. Ανακτώνται από. http://www.atypon-link.com/GPI/doi/abs/10.1521/jscp.1986.4.3.359.</w:t>
      </w:r>
    </w:p>
    <w:p w:rsidR="00000000" w:rsidDel="00000000" w:rsidP="00000000" w:rsidRDefault="00000000" w:rsidRPr="00000000" w14:paraId="0000002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Bandura, Α. (1991). Ανθρώπινο πρακτορείο: η ρητορική και η πραγματικότητα. Αμερικανός Ψυχολόγος, 46(2), 157–162. http://dx.doi.org/10.1037/0003-066X.46.2.157.</w:t>
      </w:r>
    </w:p>
    <w:p w:rsidR="00000000" w:rsidDel="00000000" w:rsidP="00000000" w:rsidRDefault="00000000" w:rsidRPr="00000000" w14:paraId="0000002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Baron-Cohen, S., Leslie, AM, &amp; Frith, U. (1985). Το αυτιστικό παιδί έχει «θεωρία του νου»; Cognition, 21(1), 37–46.</w:t>
      </w:r>
    </w:p>
    <w:p w:rsidR="00000000" w:rsidDel="00000000" w:rsidP="00000000" w:rsidRDefault="00000000" w:rsidRPr="00000000" w14:paraId="0000002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Bernard-Opitz, V., Sriram, N., &amp; Nakhoda-Sapuan, S. (2001). Ενίσχυση της επίλυσης κοινωνικών προβλημάτων σε παιδιά με αυτισμό και φυσιολογικά παιδιά μέσω της διδασκαλίας με τη βοήθεια υπολογιστή. Journal of Autism and Developmental Disorders, 31, 377-384.</w:t>
      </w:r>
    </w:p>
    <w:p w:rsidR="00000000" w:rsidDel="00000000" w:rsidP="00000000" w:rsidRDefault="00000000" w:rsidRPr="00000000" w14:paraId="0000002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Brown, DJ, McHugh, D., Standen, P., Evett, L., Shopland, N., &amp; Battersby, S. (2011). Σχεδιασμός μαθησιακών εμπειριών βάσει τοποθεσίας για άτομα με νοητικές αναπηρίες και πρόσθετες αισθητηριακές αναπηρίες. Computers &amp; Education, 56(1), 11–20.</w:t>
      </w:r>
    </w:p>
    <w:p w:rsidR="00000000" w:rsidDel="00000000" w:rsidP="00000000" w:rsidRDefault="00000000" w:rsidRPr="00000000" w14:paraId="0000002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Carley, Κ. (1990). Ανάλυση περιεχομένου. Στο RE Asher (Επιμ.), Η εγκυκλοπαίδεια της γλώσσας και της γλωσσολογίας. Εδιμβούργο, Ηνωμένο Βασίλειο: Pergamon Press.</w:t>
      </w:r>
    </w:p>
    <w:p w:rsidR="00000000" w:rsidDel="00000000" w:rsidP="00000000" w:rsidRDefault="00000000" w:rsidRPr="00000000" w14:paraId="0000002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Carmien, S. (2004). Υποστήριξη εργασιών για άτομα με γνωστικές αναπηρίες και τους φροντιστές τους. American Journal of Occupational Therapy, 4, 1–4.</w:t>
      </w:r>
    </w:p>
    <w:p w:rsidR="00000000" w:rsidDel="00000000" w:rsidP="00000000" w:rsidRDefault="00000000" w:rsidRPr="00000000" w14:paraId="0000003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Carmien, S., Dawe, M., Fischer, G., Gorman, A., Kintsch, Α., &amp; Sullivan, JF (Ιούνιος 2005). Κοινωνικο-τεχνικά περιβάλλοντα που υποστηρίζουν άτομα με γνωστικές αναπηρίες χρησιμοποιώντας τα μέσα μαζικής</w:t>
      </w:r>
    </w:p>
    <w:p w:rsidR="00000000" w:rsidDel="00000000" w:rsidP="00000000" w:rsidRDefault="00000000" w:rsidRPr="00000000" w14:paraId="0000003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μεταφοράς. ACM Transactions on Computer-Human Interaction, 12(2), 233–262.</w:t>
      </w:r>
    </w:p>
    <w:p w:rsidR="00000000" w:rsidDel="00000000" w:rsidP="00000000" w:rsidRDefault="00000000" w:rsidRPr="00000000" w14:paraId="0000003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Carter, AS, Volkmar, FR, Sparrow, SS, Wang, J.-J., Lord, C., Dawson, G., et al. (1998). Οι Κλίμακες Προσαρμοστικής Συμπεριφοράς Vineland: συμπληρωματικοί κανόνες για άτομα με αυτισμό. Journal of Autism and Developmental Disorders, 28(4), 287-302.</w:t>
      </w:r>
    </w:p>
    <w:p w:rsidR="00000000" w:rsidDel="00000000" w:rsidP="00000000" w:rsidRDefault="00000000" w:rsidRPr="00000000" w14:paraId="0000003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Charman, T., Howlin, P., Berry, B., &amp; Prince, E. (2004). Μέτρηση αναπτυξιακής προόδου παιδιών με διαταραχή φάσματος αυτισμού κατά την είσοδο στο σχολείο με χρήση αναφοράς γονέων.</w:t>
      </w:r>
    </w:p>
    <w:p w:rsidR="00000000" w:rsidDel="00000000" w:rsidP="00000000" w:rsidRDefault="00000000" w:rsidRPr="00000000" w14:paraId="0000003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Autism: The International Journal of Research and Practice, 8(1), 89–100. http://dx.doi.org/10.1177/1362361304040641.</w:t>
      </w:r>
    </w:p>
    <w:p w:rsidR="00000000" w:rsidDel="00000000" w:rsidP="00000000" w:rsidRDefault="00000000" w:rsidRPr="00000000" w14:paraId="0000003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Cohen, L., Manion, L., &amp; Morrison, K. (2007). Μέθοδοι Έρευνας στην Εκπαίδευση (6η έκδ.). Λονδίνο, ΗΒ: Routledge Falmer.</w:t>
      </w:r>
    </w:p>
    <w:p w:rsidR="00000000" w:rsidDel="00000000" w:rsidP="00000000" w:rsidRDefault="00000000" w:rsidRPr="00000000" w14:paraId="0000003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COMScore. (2012). 2012 Το μέλλον για κινητά στο επίκεντρο [Διαδικτυακό]. Διαθέσιμος. http://www.comscore.com/Press_Events/Presentations_Whitepapers/2012/2012_Mobile_Future_in_Focus</w:t>
      </w:r>
    </w:p>
    <w:p w:rsidR="00000000" w:rsidDel="00000000" w:rsidP="00000000" w:rsidRDefault="00000000" w:rsidRPr="00000000" w14:paraId="0000003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Dautenhahan, K., &amp; Werry, I. (2004). Προς τα διαδραστικά ρομπότ στη θεραπεία του αυτισμού: υπόβαθρο, κίνητρα και προκλήσεις. Pragmatics and Cognition, 12(1), 1–35.</w:t>
      </w:r>
    </w:p>
    <w:p w:rsidR="00000000" w:rsidDel="00000000" w:rsidP="00000000" w:rsidRDefault="00000000" w:rsidRPr="00000000" w14:paraId="0000003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Deci, EL, &amp; Ryan, RM (2008). Θεωρία αυτοκαθορισμού: μια μακροθεωρία των ανθρώπινων κινήτρων, ανάπτυξης και υγείας. Canadian Psychology/Psychologie Canadienne, 49(3), 182–185. http://dx.doi.org/10.1037/a0012801.</w:t>
      </w:r>
    </w:p>
    <w:p w:rsidR="00000000" w:rsidDel="00000000" w:rsidP="00000000" w:rsidRDefault="00000000" w:rsidRPr="00000000" w14:paraId="0000003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Dexter, SL, Anderson, RE, &amp; Becker, HJ (2000). Οι απόψεις των εκπαιδευτικών για τους υπολογιστές ως καταλύτες για αλλαγές στη διδακτική τους πρακτική. Journal of Research on Computing in Education, 31(3), 222–232.</w:t>
      </w:r>
    </w:p>
    <w:p w:rsidR="00000000" w:rsidDel="00000000" w:rsidP="00000000" w:rsidRDefault="00000000" w:rsidRPr="00000000" w14:paraId="0000003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Farr, W., Yuill, N., &amp; Raffle, H. (2010). Κοινωνικά οφέλη από μια απτή διεπαφή χρήστη για παιδιά με συνθήκες αυτιστικού φάσματος. Autism, 14(3), 237–252.</w:t>
      </w:r>
    </w:p>
    <w:p w:rsidR="00000000" w:rsidDel="00000000" w:rsidP="00000000" w:rsidRDefault="00000000" w:rsidRPr="00000000" w14:paraId="0000003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Fereday, J., &amp; Muir-Cochrane, E. (2006). Επίδειξη αυστηρότητας με χρήση θεματικής ανάλυσης: μια υβριδική προσέγγιση επαγωγικής και απαγωγικής κωδικοποίησης και ανάπτυξης θεμάτων.</w:t>
      </w:r>
    </w:p>
    <w:p w:rsidR="00000000" w:rsidDel="00000000" w:rsidP="00000000" w:rsidRDefault="00000000" w:rsidRPr="00000000" w14:paraId="0000003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International Journal of Qualitative Methods, 5(1), 80–92.</w:t>
      </w:r>
    </w:p>
    <w:p w:rsidR="00000000" w:rsidDel="00000000" w:rsidP="00000000" w:rsidRDefault="00000000" w:rsidRPr="00000000" w14:paraId="0000003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Fogg, BJ (2003). Πειστική τεχνολογία. Χρησιμοποιούμε υπολογιστές για να αλλάξουμε αυτό που σκεφτόμαστε και κάνουμε. Σαν Φρανσίσκο, Καλιφόρνια: Morgan Kaufman Publishers.</w:t>
      </w:r>
    </w:p>
    <w:p w:rsidR="00000000" w:rsidDel="00000000" w:rsidP="00000000" w:rsidRDefault="00000000" w:rsidRPr="00000000" w14:paraId="0000003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Fogg, B., Cuellar, G., &amp; Danielson, DR (2008). Παρακίνηση, επιρροή και πείθοντας τους χρήστες. Στο JA Jacko (Ed.), The manual of human-computer interaction (σελ. 359–370).</w:t>
      </w:r>
    </w:p>
    <w:p w:rsidR="00000000" w:rsidDel="00000000" w:rsidP="00000000" w:rsidRDefault="00000000" w:rsidRPr="00000000" w14:paraId="0000003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CRC Press.</w:t>
      </w:r>
    </w:p>
    <w:p w:rsidR="00000000" w:rsidDel="00000000" w:rsidP="00000000" w:rsidRDefault="00000000" w:rsidRPr="00000000" w14:paraId="0000004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Fogg, BJ, &amp; Eckles, D. (2007). Κινητό πειθώ. 20 προοπτικές για το μέλλον της αλλαγής συμπεριφοράς. Stanford: Stanford Captology Media.</w:t>
      </w:r>
    </w:p>
    <w:p w:rsidR="00000000" w:rsidDel="00000000" w:rsidP="00000000" w:rsidRDefault="00000000" w:rsidRPr="00000000" w14:paraId="0000004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Fombonne, E. (2003). Επιδημιολογικές έρευνες για τον αυτισμό και άλλες διάχυτες αναπτυξιακές διαταραχές: μια ενημέρωση. Journal of Autism and Developmental Disorders, 33(4), 365-381.</w:t>
      </w:r>
    </w:p>
    <w:p w:rsidR="00000000" w:rsidDel="00000000" w:rsidP="00000000" w:rsidRDefault="00000000" w:rsidRPr="00000000" w14:paraId="0000004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Frith, U., &amp; Happé, F. (1994). Αυτισμός: πέρα ​​από τη «θεωρία του νου». Cognition, 50(1–3), 115–132, The MIT Press.</w:t>
      </w:r>
    </w:p>
    <w:p w:rsidR="00000000" w:rsidDel="00000000" w:rsidP="00000000" w:rsidRDefault="00000000" w:rsidRPr="00000000" w14:paraId="0000004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Gentry, T., Wallace, J., Kvarfordt, C., &amp; Lynch, KB (2010). Προσωπικοί ψηφιακοί βοηθοί ως γνωστικά βοηθήματα για μαθητές γυμνασίου με αυτισμό: αποτελέσματα μιας δοκιμής που βασίζεται στην κοινότητα.</w:t>
      </w:r>
    </w:p>
    <w:p w:rsidR="00000000" w:rsidDel="00000000" w:rsidP="00000000" w:rsidRDefault="00000000" w:rsidRPr="00000000" w14:paraId="0000004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Journal of Vocational Rehabilitation, 32, 101–107.</w:t>
      </w:r>
    </w:p>
    <w:p w:rsidR="00000000" w:rsidDel="00000000" w:rsidP="00000000" w:rsidRDefault="00000000" w:rsidRPr="00000000" w14:paraId="0000004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Glover, D., &amp; Miller, D. (2001). Τρέξιμο με τεχνολογία: ο παιδαγωγικός αντίκτυπος της μεγάλης κλίμακας εισαγωγής διαδραστικών πινάκων σε ένα σχολείο δευτεροβάθμιας εκπαίδευσης. Technology,</w:t>
      </w:r>
    </w:p>
    <w:p w:rsidR="00000000" w:rsidDel="00000000" w:rsidP="00000000" w:rsidRDefault="00000000" w:rsidRPr="00000000" w14:paraId="0000004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Pedagogy and Education, 10(3), 257–278.</w:t>
      </w:r>
    </w:p>
    <w:p w:rsidR="00000000" w:rsidDel="00000000" w:rsidP="00000000" w:rsidRDefault="00000000" w:rsidRPr="00000000" w14:paraId="0000004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Hammersley, M., &amp; Atkinson, P. (2007). Η εθνογραφία στην πράξη (3η έκδ.). Λονδίνο, ΗΒ: Routledge.</w:t>
      </w:r>
    </w:p>
    <w:p w:rsidR="00000000" w:rsidDel="00000000" w:rsidP="00000000" w:rsidRDefault="00000000" w:rsidRPr="00000000" w14:paraId="0000004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Έργο HANDS. (2011). Το έργο HANDS. Ανακτήθηκε 28.12.11, από. www.hands-project.eu.</w:t>
      </w:r>
    </w:p>
    <w:p w:rsidR="00000000" w:rsidDel="00000000" w:rsidP="00000000" w:rsidRDefault="00000000" w:rsidRPr="00000000" w14:paraId="0000004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Haskins, BG, &amp; Silva, JA (2006). Διαταραχή Asperger και εγκληματική συμπεριφορά: ιατροδικαστικές ψυχιατρικές εκτιμήσεις. Journal of the American Academy of Psychiatry and the Law, 34, 374–384.</w:t>
      </w:r>
    </w:p>
    <w:p w:rsidR="00000000" w:rsidDel="00000000" w:rsidP="00000000" w:rsidRDefault="00000000" w:rsidRPr="00000000" w14:paraId="0000004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Howlin, P. (2004). Αυτισμός και σύνδρομο Asperger: Προετοιμασία για την ενηλικίωση. Λονδίνο, ΗΒ: Routledge.</w:t>
      </w:r>
    </w:p>
    <w:p w:rsidR="00000000" w:rsidDel="00000000" w:rsidP="00000000" w:rsidRDefault="00000000" w:rsidRPr="00000000" w14:paraId="0000004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Jason, JT, &amp; Herring, JE (2005). Η επιρροή του δασκάλου στην τάξη: μια προκαταρκτική διερεύνηση της αντιληπτής δύναμης, αξιοπιστίας και ικανοποίησης των μαθητών του εκπαιδευτή.</w:t>
      </w:r>
    </w:p>
    <w:p w:rsidR="00000000" w:rsidDel="00000000" w:rsidP="00000000" w:rsidRDefault="00000000" w:rsidRPr="00000000" w14:paraId="0000004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Εκθέσεις Επικοινωνιακής Έρευνας, 22(3), 235–246.</w:t>
      </w:r>
    </w:p>
    <w:p w:rsidR="00000000" w:rsidDel="00000000" w:rsidP="00000000" w:rsidRDefault="00000000" w:rsidRPr="00000000" w14:paraId="0000004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Lindström, J. (2007). Ασφαλής πλοήγηση με ασύρματη τεχνολογία. Στο PRW Roe (Επιμ.), Towards and inclusive future: Impact and ευρύτερες δυνατότητες των τεχνολογιών πληροφοριών και επικοινωνιών. Βρυξέλλες: ΚΟΣΤΟΣ.</w:t>
      </w:r>
    </w:p>
    <w:p w:rsidR="00000000" w:rsidDel="00000000" w:rsidP="00000000" w:rsidRDefault="00000000" w:rsidRPr="00000000" w14:paraId="0000004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Luna, B., Doll, SK, Hegedus, SJ, Minshew, NJ, &amp; Sweeney, JA (2007). Ωρίμανση εκτελεστικής λειτουργίας στον αυτισμό. Biological Psychiatry, 61(4), 474–481. </w:t>
      </w:r>
      <w:hyperlink r:id="rId7">
        <w:r w:rsidDel="00000000" w:rsidR="00000000" w:rsidRPr="00000000">
          <w:rPr>
            <w:rFonts w:ascii="Calibri" w:cs="Calibri" w:eastAsia="Calibri" w:hAnsi="Calibri"/>
            <w:color w:val="0563c1"/>
            <w:u w:val="single"/>
            <w:rtl w:val="0"/>
          </w:rPr>
          <w:t xml:space="preserve">http://dx.doi.org/</w:t>
        </w:r>
      </w:hyperlink>
      <w:r w:rsidDel="00000000" w:rsidR="00000000" w:rsidRPr="00000000">
        <w:rPr>
          <w:rFonts w:ascii="Calibri" w:cs="Calibri" w:eastAsia="Calibri" w:hAnsi="Calibri"/>
          <w:rtl w:val="0"/>
        </w:rPr>
        <w:t xml:space="preserve"> 10.1016/j.biopsych.2006.02.030.</w:t>
      </w:r>
    </w:p>
    <w:p w:rsidR="00000000" w:rsidDel="00000000" w:rsidP="00000000" w:rsidRDefault="00000000" w:rsidRPr="00000000" w14:paraId="0000004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Matzen, NJ, &amp; Edmunds, JA (2007). Η τεχνολογία ως καταλύτης για την αλλαγή: ο ρόλος της επαγγελματικής εξέλιξης. Journal of Research on Technology in Education, 39(4), 417–430.</w:t>
      </w:r>
    </w:p>
    <w:p w:rsidR="00000000" w:rsidDel="00000000" w:rsidP="00000000" w:rsidRDefault="00000000" w:rsidRPr="00000000" w14:paraId="0000005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Mayes, SD, &amp; Calhoun, SL (2007). Ταχύτητα μάθησης, προσοχής, γραφής και επεξεργασίας σε τυπικά παιδιά και παιδιά με ΔΕΠΥ, αυτισμό, άγχος, κατάθλιψη και εναντιωματική-προκλητική διαταραχή. Child Neuropsychology: A Journal on Normal and Abnormal Development in Childhood and Adolescence, 13(6), 469–493.</w:t>
      </w:r>
    </w:p>
    <w:p w:rsidR="00000000" w:rsidDel="00000000" w:rsidP="00000000" w:rsidRDefault="00000000" w:rsidRPr="00000000" w14:paraId="0000005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Mechling, LC, Gast, DL, &amp; Seid, NH (2009). Χρήση προσωπικού ψηφιακού βοηθού για την αύξηση της ανεξάρτητης ολοκλήρωσης εργασιών από μαθητές με διαταραχή του φάσματος του αυτισμού. Journal of Autism and Developmental Disorders, 39(10), 1420–1434. http://dx.doi.org/10.1007/s10803-009-0761-0.</w:t>
      </w:r>
    </w:p>
    <w:p w:rsidR="00000000" w:rsidDel="00000000" w:rsidP="00000000" w:rsidRDefault="00000000" w:rsidRPr="00000000" w14:paraId="0000005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Meschtscherjakov, A. (2009). Προσκόλληση σε φορητές συσκευές – Συναισθηματική προσκόλληση σε κινητές συσκευές και υπηρεσίες. Στα Πρακτικά του 11ου Διεθνούς Συνεδρίου για την αλληλεπίδραση ανθρώπου-υπολογιστή με κινητές συσκευές και υπηρεσίες, Mobile HCI'09. Βόννη, Γερμανία.</w:t>
      </w:r>
    </w:p>
    <w:p w:rsidR="00000000" w:rsidDel="00000000" w:rsidP="00000000" w:rsidRDefault="00000000" w:rsidRPr="00000000" w14:paraId="0000005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Miles, Β., &amp; Huberman, Ν. (1994). Ποιοτική ανάλυση δεδομένων: Ένα διευρυμένο βιβλίο πηγών (2η έκδοση). ΚΑ: Φασκόμηλο.</w:t>
      </w:r>
    </w:p>
    <w:p w:rsidR="00000000" w:rsidDel="00000000" w:rsidP="00000000" w:rsidRDefault="00000000" w:rsidRPr="00000000" w14:paraId="0000005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Mintz, J., Branch, C., March, C., &amp; Lerman, S. (2012). Βασικοί παράγοντες που μεσολαβούν στη χρήση ενός εργαλείου κινητής τεχνολογίας που έχει σχεδιαστεί για την ανάπτυξη κοινωνικών δεξιοτήτων και δεξιοτήτων ζωής σε παιδιά με</w:t>
      </w:r>
    </w:p>
    <w:p w:rsidR="00000000" w:rsidDel="00000000" w:rsidP="00000000" w:rsidRDefault="00000000" w:rsidRPr="00000000" w14:paraId="0000005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Διαταραχές Αυτιστικού Φάσματος. Computers &amp; Education, 58(1), 53–62. http://dx.doi.org/10.1016/j.compedu.2011.07.013.</w:t>
      </w:r>
    </w:p>
    <w:p w:rsidR="00000000" w:rsidDel="00000000" w:rsidP="00000000" w:rsidRDefault="00000000" w:rsidRPr="00000000" w14:paraId="0000005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Mitchell, P., Parsons, S., &amp; Leonard, A. (2007). Χρήση εικονικών περιβαλλόντων για τη διδασκαλία της κοινωνικής κατανόησης σε 6 εφήβους με διαταραχές αυτιστικού φάσματος. Journal of Autism and Development Disorders, 37(3), 589–600.</w:t>
      </w:r>
    </w:p>
    <w:p w:rsidR="00000000" w:rsidDel="00000000" w:rsidP="00000000" w:rsidRDefault="00000000" w:rsidRPr="00000000" w14:paraId="0000005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Moore, D., &amp; Taylor, J. (2000). Διαδραστικά συστήματα πολυμέσων για μαθητές με αυτισμό. Journal of Educational Media, 25(3), 169–177.</w:t>
      </w:r>
    </w:p>
    <w:p w:rsidR="00000000" w:rsidDel="00000000" w:rsidP="00000000" w:rsidRDefault="00000000" w:rsidRPr="00000000" w14:paraId="0000005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Ozonoff, S., Pennington, F.,B., &amp; Rogers, J.,S. (1991). Ελλείμματα εκτελεστικής λειτουργίας σε αυτιστικά άτομα υψηλής λειτουργικότητας: σχέση με τη Θεωρία του Νου. Journals of Child Psychology and Psychiatry, 32(7), 1081–1105.</w:t>
      </w:r>
    </w:p>
    <w:p w:rsidR="00000000" w:rsidDel="00000000" w:rsidP="00000000" w:rsidRDefault="00000000" w:rsidRPr="00000000" w14:paraId="0000005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26 J. Mintz / Computers &amp; Education 63 (2013) 17–27</w:t>
      </w:r>
    </w:p>
    <w:p w:rsidR="00000000" w:rsidDel="00000000" w:rsidP="00000000" w:rsidRDefault="00000000" w:rsidRPr="00000000" w14:paraId="0000005A">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Parsons, S., Mitchell, P., &amp; Leonard, A. (2004). Η χρήση και κατανόηση εικονικών περιβαλλόντων από εφήβους με διαταραχές αυτιστικού φάσματος. Journal of Autism and Development Disorders, 34(4), 449-466.</w:t>
      </w:r>
    </w:p>
    <w:p w:rsidR="00000000" w:rsidDel="00000000" w:rsidP="00000000" w:rsidRDefault="00000000" w:rsidRPr="00000000" w14:paraId="0000005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Patterson, D., Liao, L., Gajos, Κ., Collier, Μ., Livic, Ν., Olson, Κ., et αϊ. (2004). Στο N. Davies, ED Mynatt, &amp; I. Siio (Επιμ.). UbiComp 2004: Ubiquitous computing, Vol. 3205 (σελ. 433–450). Βερολίνο, Χαϊδελβέργη: Springer Berlin Heidelberg. http://dx.doi.org/10.1007/b99948.</w:t>
      </w:r>
    </w:p>
    <w:p w:rsidR="00000000" w:rsidDel="00000000" w:rsidP="00000000" w:rsidRDefault="00000000" w:rsidRPr="00000000" w14:paraId="0000005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Ploug, T., Hasle, P., &amp; Oinas-Kukkonen, H. (Επιμ.), (2010). Πρακτικά 5ου διεθνούς συνεδρίου για την πειστική τεχνολογία. Νέα Υόρκη: Σπρίνγκερ.</w:t>
      </w:r>
    </w:p>
    <w:p w:rsidR="00000000" w:rsidDel="00000000" w:rsidP="00000000" w:rsidRDefault="00000000" w:rsidRPr="00000000" w14:paraId="0000005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Rayner, C., Denholm, C., &amp; Sigafoos, J. (2009). Παρέμβαση βασισμένη σε βίντεο για άτομα με αυτισμό: βασικά ερωτήματα που παραμένουν αναπάντητα. Research in Autism Spectrum Disorders, 3(2), 291–303.</w:t>
      </w:r>
    </w:p>
    <w:p w:rsidR="00000000" w:rsidDel="00000000" w:rsidP="00000000" w:rsidRDefault="00000000" w:rsidRPr="00000000" w14:paraId="0000005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Shea, V., &amp; Mesibov, G. (2005). Έφηβοι και ενήλικες με αυτισμό. Στο (3η έκδ.). Στο FR Volkmar, R. Paul, A. Klin, &amp; D. Cohen (Επιμ.), Handbook of autism and pervasive developmental disorders, Vol. 1 (σελ. 288–311) Hoboken, NJ: Wiley.</w:t>
      </w:r>
    </w:p>
    <w:p w:rsidR="00000000" w:rsidDel="00000000" w:rsidP="00000000" w:rsidRDefault="00000000" w:rsidRPr="00000000" w14:paraId="0000005F">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Tentori, M., &amp; Hayes, G. (2010). Σχεδιασμός για την αμεσότητα της αλληλεπίδρασης για την ενίσχυση των κοινωνικών δεξιοτήτων των παιδιών με αυτισμό. Στο J. Bardram, M. Langhenreich, K. Truong, &amp; P. ​​Nixon</w:t>
      </w:r>
    </w:p>
    <w:p w:rsidR="00000000" w:rsidDel="00000000" w:rsidP="00000000" w:rsidRDefault="00000000" w:rsidRPr="00000000" w14:paraId="0000006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(Επιμ.), Πρακτικά του 12ου διεθνούς συνεδρίου ACM για τον πανταχού παρόντα υπολογισμό (σελ. 51–60). Νέα Υόρκη, Νέα Υόρκη: The ACM Press. </w:t>
      </w:r>
      <w:hyperlink r:id="rId8">
        <w:r w:rsidDel="00000000" w:rsidR="00000000" w:rsidRPr="00000000">
          <w:rPr>
            <w:rFonts w:ascii="Calibri" w:cs="Calibri" w:eastAsia="Calibri" w:hAnsi="Calibri"/>
            <w:color w:val="0563c1"/>
            <w:u w:val="single"/>
            <w:rtl w:val="0"/>
          </w:rPr>
          <w:t xml:space="preserve">http://dx.doi.org/10.1145/</w:t>
        </w:r>
      </w:hyperlink>
      <w:r w:rsidDel="00000000" w:rsidR="00000000" w:rsidRPr="00000000">
        <w:rPr>
          <w:rFonts w:ascii="Calibri" w:cs="Calibri" w:eastAsia="Calibri" w:hAnsi="Calibri"/>
          <w:rtl w:val="0"/>
        </w:rPr>
        <w:t xml:space="preserve"> 1864349.1864359.</w:t>
      </w:r>
    </w:p>
    <w:p w:rsidR="00000000" w:rsidDel="00000000" w:rsidP="00000000" w:rsidRDefault="00000000" w:rsidRPr="00000000" w14:paraId="0000006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Thweatt, KS, &amp; McCroskey, JC (1998). Ο αντίκτυπος της αμεσότητας των εκπαιδευτικών και των κακών συμπεριφορών στην αξιοπιστία των εκπαιδευτικών. Communication Education, 47, 348–358.</w:t>
      </w:r>
    </w:p>
    <w:p w:rsidR="00000000" w:rsidDel="00000000" w:rsidP="00000000" w:rsidRDefault="00000000" w:rsidRPr="00000000" w14:paraId="0000006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Volkmar, FR, Lord, C., Bailey, A., Schultz, RT, &amp; Lin, A. (2004). Αυτισμός και διάχυτες αναπτυξιακές διαταραχές. Journal of Child Psychology and Psychiatry, 45(1), 135–170.</w:t>
      </w:r>
    </w:p>
    <w:p w:rsidR="00000000" w:rsidDel="00000000" w:rsidP="00000000" w:rsidRDefault="00000000" w:rsidRPr="00000000" w14:paraId="0000006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Wainer, AL, &amp; Ingersoll, R. (2010). Η χρήση καινοτόμου τεχνολογίας υπολογιστών για τη διδασκαλία της κοινωνικής επικοινωνίας σε άτομα με διαταραχές του φάσματος του αυτισμού. Έρευνα στις διαταραχές του φάσματος του αυτισμού, 5, 96-107.</w:t>
      </w:r>
    </w:p>
    <w:p w:rsidR="00000000" w:rsidDel="00000000" w:rsidP="00000000" w:rsidRDefault="00000000" w:rsidRPr="00000000" w14:paraId="0000006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Wallace, S., Parsons, S., Westbury, A., White, K., White, K., &amp; Bailey, A. (2010). Αίσθηση παρουσίας και άτυπες κοινωνικές κρίσεις σε καθηλωτικά εικονικά περιβάλλοντα. Απαντήσεις εφήβων με Διαταραχές Αυτιστικού Φάσματος. Autism: The International Journal of Research and Practice, 14(3), 199–213. http://dx.doi.org/10.1177/1362361310363283.</w:t>
      </w:r>
    </w:p>
    <w:p w:rsidR="00000000" w:rsidDel="00000000" w:rsidP="00000000" w:rsidRDefault="00000000" w:rsidRPr="00000000" w14:paraId="0000006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Wing, L., &amp; Gould, J. (1979). Σοβαρές βλάβες της κοινωνικής αλληλεπίδρασης και συναφείς ανωμαλίες στα παιδιά: επιδημιολογία και ταξινόμηση. Journal of Autism and Developmental Disorders, 9, 11–29.</w:t>
      </w:r>
    </w:p>
    <w:p w:rsidR="00000000" w:rsidDel="00000000" w:rsidP="00000000" w:rsidRDefault="00000000" w:rsidRPr="00000000" w14:paraId="0000006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Yin, Κ. (1981). Η κρίση της μελέτης περίπτωσης: μερικές απαντήσεις. Administrative Science Quarterly, 26, 58–65</w:t>
      </w:r>
    </w:p>
    <w:p w:rsidR="00000000" w:rsidDel="00000000" w:rsidP="00000000" w:rsidRDefault="00000000" w:rsidRPr="00000000" w14:paraId="00000067">
      <w:pPr>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tabs>
        <w:tab w:val="center" w:pos="4536"/>
        <w:tab w:val="right" w:pos="9072"/>
      </w:tabs>
      <w:spacing w:line="240" w:lineRule="auto"/>
      <w:rPr/>
    </w:pPr>
    <w:r w:rsidDel="00000000" w:rsidR="00000000" w:rsidRPr="00000000">
      <w:rPr>
        <w:rFonts w:ascii="Calibri" w:cs="Calibri" w:eastAsia="Calibri" w:hAnsi="Calibri"/>
      </w:rPr>
      <w:drawing>
        <wp:inline distB="0" distT="0" distL="0" distR="0">
          <wp:extent cx="1353185" cy="762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53185" cy="762000"/>
                  </a:xfrm>
                  <a:prstGeom prst="rect"/>
                  <a:ln/>
                </pic:spPr>
              </pic:pic>
            </a:graphicData>
          </a:graphic>
        </wp:inline>
      </w:drawing>
    </w:r>
    <w:r w:rsidDel="00000000" w:rsidR="00000000" w:rsidRPr="00000000">
      <w:rPr>
        <w:rFonts w:ascii="Calibri" w:cs="Calibri" w:eastAsia="Calibri" w:hAnsi="Calibri"/>
      </w:rPr>
      <w:drawing>
        <wp:inline distB="0" distT="0" distL="0" distR="0">
          <wp:extent cx="981075" cy="58102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981075" cy="581025"/>
                  </a:xfrm>
                  <a:prstGeom prst="rect"/>
                  <a:ln/>
                </pic:spPr>
              </pic:pic>
            </a:graphicData>
          </a:graphic>
        </wp:inline>
      </w:drawing>
    </w:r>
    <w:r w:rsidDel="00000000" w:rsidR="00000000" w:rsidRPr="00000000">
      <w:rPr>
        <w:rFonts w:ascii="Calibri" w:cs="Calibri" w:eastAsia="Calibri" w:hAnsi="Calibri"/>
      </w:rPr>
      <w:drawing>
        <wp:inline distB="0" distT="0" distL="0" distR="0">
          <wp:extent cx="2152015" cy="725170"/>
          <wp:effectExtent b="0" l="0" r="0" t="0"/>
          <wp:docPr id="3"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2152015" cy="7251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aurora-project.com" TargetMode="External"/><Relationship Id="rId7" Type="http://schemas.openxmlformats.org/officeDocument/2006/relationships/hyperlink" Target="http://dx.doi.org/" TargetMode="External"/><Relationship Id="rId8" Type="http://schemas.openxmlformats.org/officeDocument/2006/relationships/hyperlink" Target="http://dx.doi.org/10.11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