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83E" w:rsidRDefault="00AA583E">
      <w:pPr>
        <w:jc w:val="center"/>
        <w:rPr>
          <w:sz w:val="24"/>
          <w:szCs w:val="24"/>
        </w:rPr>
      </w:pPr>
      <w:bookmarkStart w:id="0" w:name="_GoBack"/>
      <w:bookmarkEnd w:id="0"/>
    </w:p>
    <w:p w:rsidR="00AA583E" w:rsidRDefault="00AA583E">
      <w:pPr>
        <w:jc w:val="center"/>
        <w:rPr>
          <w:sz w:val="24"/>
          <w:szCs w:val="24"/>
        </w:rPr>
      </w:pPr>
    </w:p>
    <w:p w:rsidR="00AA583E" w:rsidRDefault="00605DCB">
      <w:pPr>
        <w:jc w:val="center"/>
        <w:rPr>
          <w:sz w:val="24"/>
          <w:szCs w:val="24"/>
        </w:rPr>
      </w:pPr>
      <w:r>
        <w:rPr>
          <w:sz w:val="24"/>
          <w:szCs w:val="24"/>
        </w:rPr>
        <w:t>“Eliminating Social Exclusion” (</w:t>
      </w:r>
      <w:proofErr w:type="spellStart"/>
      <w:r>
        <w:rPr>
          <w:sz w:val="24"/>
          <w:szCs w:val="24"/>
        </w:rPr>
        <w:t>EliSE</w:t>
      </w:r>
      <w:proofErr w:type="spellEnd"/>
      <w:r>
        <w:rPr>
          <w:sz w:val="24"/>
          <w:szCs w:val="24"/>
        </w:rPr>
        <w:t>)</w:t>
      </w:r>
    </w:p>
    <w:p w:rsidR="00AA583E" w:rsidRDefault="00605DCB">
      <w:pPr>
        <w:jc w:val="center"/>
        <w:rPr>
          <w:sz w:val="24"/>
          <w:szCs w:val="24"/>
        </w:rPr>
      </w:pPr>
      <w:proofErr w:type="spellStart"/>
      <w:r>
        <w:rPr>
          <w:sz w:val="24"/>
          <w:szCs w:val="24"/>
        </w:rPr>
        <w:t>Nr</w:t>
      </w:r>
      <w:proofErr w:type="spellEnd"/>
      <w:r>
        <w:rPr>
          <w:sz w:val="24"/>
          <w:szCs w:val="24"/>
        </w:rPr>
        <w:t>. 2019-1-LV01-KA204-060427</w:t>
      </w:r>
    </w:p>
    <w:p w:rsidR="00E16045" w:rsidRDefault="00E16045">
      <w:pPr>
        <w:rPr>
          <w:sz w:val="28"/>
          <w:szCs w:val="28"/>
          <w:lang w:val="lv-LV"/>
        </w:rPr>
      </w:pPr>
      <w:r w:rsidRPr="00E16045">
        <w:rPr>
          <w:sz w:val="28"/>
          <w:szCs w:val="28"/>
          <w:lang w:val="lv-LV"/>
        </w:rPr>
        <w:t>Adil seyahat ve sosyal engeller</w:t>
      </w:r>
    </w:p>
    <w:p w:rsidR="00E16045" w:rsidRPr="00E16045" w:rsidRDefault="00E16045" w:rsidP="00E16045">
      <w:pPr>
        <w:rPr>
          <w:lang w:val="lv-LV"/>
        </w:rPr>
      </w:pPr>
      <w:r w:rsidRPr="00E16045">
        <w:rPr>
          <w:lang w:val="lv-LV"/>
        </w:rPr>
        <w:t>IO4, seyahat sırasında özel ihtiyaçları olan çocukları olan ailelere ve sosyal eğitimcilere yardımcı olmak için etkileşimli bir araç seti ("Adil Seyahat Araç Takımı") oluşturmayı amaçlamaktadır. Ana çıktı Öneriler'dir:</w:t>
      </w:r>
    </w:p>
    <w:p w:rsidR="00E16045" w:rsidRPr="00E16045" w:rsidRDefault="00E16045" w:rsidP="00E16045">
      <w:pPr>
        <w:rPr>
          <w:lang w:val="lv-LV"/>
        </w:rPr>
      </w:pPr>
      <w:r w:rsidRPr="00E16045">
        <w:rPr>
          <w:lang w:val="lv-LV"/>
        </w:rPr>
        <w:t>a) sosyal eğitimciler için;</w:t>
      </w:r>
    </w:p>
    <w:p w:rsidR="00E16045" w:rsidRPr="00E16045" w:rsidRDefault="00E16045" w:rsidP="00E16045">
      <w:pPr>
        <w:rPr>
          <w:lang w:val="lv-LV"/>
        </w:rPr>
      </w:pPr>
      <w:r w:rsidRPr="00E16045">
        <w:rPr>
          <w:lang w:val="lv-LV"/>
        </w:rPr>
        <w:t>b) sosyal hizmet sağlayıcılar;</w:t>
      </w:r>
    </w:p>
    <w:p w:rsidR="00E16045" w:rsidRDefault="00E16045" w:rsidP="00E16045">
      <w:pPr>
        <w:rPr>
          <w:lang w:val="lv-LV"/>
        </w:rPr>
      </w:pPr>
      <w:r w:rsidRPr="00E16045">
        <w:rPr>
          <w:lang w:val="lv-LV"/>
        </w:rPr>
        <w:t>c) seyahat hizmetleri sunan şirketler.</w:t>
      </w:r>
    </w:p>
    <w:p w:rsidR="00E16045" w:rsidRDefault="00E16045" w:rsidP="00E16045">
      <w:pPr>
        <w:rPr>
          <w:lang w:val="lv-LV"/>
        </w:rPr>
      </w:pPr>
    </w:p>
    <w:p w:rsidR="00E16045" w:rsidRPr="00E16045" w:rsidRDefault="00E16045" w:rsidP="00E16045">
      <w:pPr>
        <w:rPr>
          <w:lang w:val="lv-LV"/>
        </w:rPr>
      </w:pPr>
      <w:r w:rsidRPr="00E16045">
        <w:rPr>
          <w:lang w:val="lv-LV"/>
        </w:rPr>
        <w:t>Etkileşimli araç seti, IO1 tarafından araştırılan ebeveynlerin sosyal hayata aktif (kendi ve çocukların) katılımındaki zorluklarına dayanmaktadır:</w:t>
      </w:r>
    </w:p>
    <w:p w:rsidR="00E16045" w:rsidRPr="00E16045" w:rsidRDefault="00E16045" w:rsidP="00E16045">
      <w:pPr>
        <w:rPr>
          <w:lang w:val="lv-LV"/>
        </w:rPr>
      </w:pPr>
      <w:r w:rsidRPr="00E16045">
        <w:rPr>
          <w:lang w:val="lv-LV"/>
        </w:rPr>
        <w:t>1. Çocuğun ve ailenin hareketliliğinin engellenmesi</w:t>
      </w:r>
    </w:p>
    <w:p w:rsidR="00E16045" w:rsidRPr="00E16045" w:rsidRDefault="00E16045" w:rsidP="00E16045">
      <w:pPr>
        <w:rPr>
          <w:lang w:val="lv-LV"/>
        </w:rPr>
      </w:pPr>
      <w:r w:rsidRPr="00E16045">
        <w:rPr>
          <w:lang w:val="lv-LV"/>
        </w:rPr>
        <w:t>2. Çevresel kullanılabilirlik eksikliği</w:t>
      </w:r>
    </w:p>
    <w:p w:rsidR="00E16045" w:rsidRPr="00E16045" w:rsidRDefault="00E16045" w:rsidP="00E16045">
      <w:pPr>
        <w:rPr>
          <w:lang w:val="lv-LV"/>
        </w:rPr>
      </w:pPr>
      <w:r w:rsidRPr="00E16045">
        <w:rPr>
          <w:lang w:val="lv-LV"/>
        </w:rPr>
        <w:t>3. Çocuğun halka açık yerlerdeki davranışlarıyla ilgili sorunlar</w:t>
      </w:r>
    </w:p>
    <w:p w:rsidR="00E16045" w:rsidRPr="00E16045" w:rsidRDefault="00E16045" w:rsidP="00E16045">
      <w:pPr>
        <w:rPr>
          <w:lang w:val="lv-LV"/>
        </w:rPr>
      </w:pPr>
      <w:r w:rsidRPr="00E16045">
        <w:rPr>
          <w:lang w:val="lv-LV"/>
        </w:rPr>
        <w:t>4. Olumsuz kamuoyu tepkisi algısı ve kamuoyunun onaylamayan tutumu</w:t>
      </w:r>
    </w:p>
    <w:p w:rsidR="000476DD" w:rsidRPr="000476DD" w:rsidRDefault="00E16045" w:rsidP="00E16045">
      <w:pPr>
        <w:rPr>
          <w:lang w:val="lv-LV"/>
        </w:rPr>
      </w:pPr>
      <w:r w:rsidRPr="00E16045">
        <w:rPr>
          <w:lang w:val="lv-LV"/>
        </w:rPr>
        <w:t>5. Çocukların halka açık yerlerde güvenliği</w:t>
      </w:r>
    </w:p>
    <w:p w:rsidR="00AA583E" w:rsidRPr="000138DB" w:rsidRDefault="00E16045" w:rsidP="00E16045">
      <w:pPr>
        <w:jc w:val="both"/>
        <w:rPr>
          <w:lang w:val="lv-LV"/>
        </w:rPr>
      </w:pPr>
      <w:r w:rsidRPr="00E16045">
        <w:rPr>
          <w:lang w:val="lv-LV"/>
        </w:rPr>
        <w:t>Son zamanlarda, otizm spektrum bozukluğu (ASD) olan çocukların sosyal ve yaşam becerilerini öğrenmelerine yardımcı olacak teknolojinin potansiyeline artan bir ilgi var. Ayrıca sınıfta mobil teknolojinin potansiyel kullanımına ve bu teknolojinin AST'li çocukları desteklemek için kullanılmasına ilgi artmıştır. Bu yeniliklere dayanarak, EliSE projesi, AST'li çocukların sosyal ve yaşam becerilerini geliştirmelerine yardımcı olan sağlam teknoloji tasarım ilkelerine dayalı akıllı telefonlar için bir mobil araç kiti destek uygulaması geliştirdi, bu toplumda az gelişmiş olma eğilimindeki yetenek alanları. Veriler, öğretmenlerin doğrudan sınıf gözlemleri, bireysel yarı yapılandırılmış görüşmeler ve anketler yoluyla toplanmıştır. Bazı ebeveynlerden ve çocuklardan veri toplamak için yarı yapılandırılmış görüşmeler de kullanılmıştır. Öğrencilerin zorlukları ve ilişkili motivasyonel değişimi anlamaları ve AST'li bazı çocukların mobil cihazlardan motivasyon mesajları almaya istekli olmaları gibi yeni faktörler de tanımlanmıştır. AST'li çocukların bilişsel yapısı ile ilgili spesifik konular ele alınmaktadır. Öğrenci zorluklarını ve ilgili motivasyonel değişiklikleri ve ayrıca AST'li bazı çocukların mobil cihazlardan motivasyonel mesajlar alma isteklerini ele almak için benzer hedeflere sahip teknoloji araçlarının gelecekte uygulanması için daha fazla geliştirme kılavuzu önerilmiştir. Ergenlik ve erken yetişkinlik, AST'li bireyler için özellikle kritik dönemler olduğundan, AST kaçınılmaz olarak çok yüksek bir sosyal dışlanma riskine yol açar. Uygun iş bulma (ve hiç çalışma), bağımsız yaşama ve uzun süreli kişilerarası ilişkiler kurma fırsatları çok sınırlıdır.</w:t>
      </w:r>
    </w:p>
    <w:p w:rsidR="00AA583E" w:rsidRPr="00331E1B" w:rsidRDefault="00E16045">
      <w:pPr>
        <w:rPr>
          <w:lang w:val="lv-LV"/>
        </w:rPr>
      </w:pPr>
      <w:r w:rsidRPr="00E16045">
        <w:rPr>
          <w:lang w:val="lv-LV"/>
        </w:rPr>
        <w:lastRenderedPageBreak/>
        <w:t>Buna paralel olarak, özellikle seyahatle ilgili olarak travmatik beyin hasarı, felç veya Alzheimer hastalığı nedeniyle bilişsel bozuklukları olan kişilere yardımcı olmak için mobil teknolojiyi kullanmaya ilgi vardır. MAPS-Lifeline prototipi (Carmien, 2004; Carmien ve diğerleri, 2005), dinamik bakıcı izlemeyi içeren GPS tabanlı bir mobil cihaz sistemi oluşturdu. Lindström (2007), bilişsel engelli insanlar için mobil teknolojiye ve GPS'e dayalı navigasyon yardım sistemleriyle İsveç deneylerini rapor ediyor. Kullanıcı raporları, tasarım önceliklerinin güvenilirlik ve kullanım kolaylığı olduğunu belirtti. Opportunity Knocks projesi (Patterson ve diğerleri, 2004), toplu taşıma kullanan bilişsel engelli kullanıcılara bilişsel yardım sağlamak için GPS tabanlı bir mobil uygulama oluşturdu. Sistem, kullanıcının mevcut ulaşım modunu otomatik olarak belirledi ve sezgisel bir öğrenme algoritması kullanarak, kullanıcı normal bir tren istasyonunu kaçırmak gibi beklenmedik bir şey yaptığında tespit etti. Brown ve ark. (Brown ve diğerleri, 2011), ciddi oyunlara dayalı rota navigasyonunu desteklemek için GPS tabanlı bir Android uygulamasının ilk prototipinin geliştirilmesini ve değerlendirilmesini rapor etmektedir. Zihinsel engelli ve duyusal engelli kullanıcılar, uygulamanın oyunlarını kullanarak olası rotaları çoğaltarak, yolculuk sırasında rehberlik ve desteğe duyulan ihtiyacı potansiyel olarak azalttı</w:t>
      </w:r>
      <w:r w:rsidR="008B72F1" w:rsidRPr="008B72F1">
        <w:rPr>
          <w:lang w:val="lv-LV"/>
        </w:rPr>
        <w:t>.</w:t>
      </w:r>
    </w:p>
    <w:p w:rsidR="00AA583E" w:rsidRPr="00AE0B5D" w:rsidRDefault="00E16045">
      <w:pPr>
        <w:rPr>
          <w:lang w:val="lv-LV"/>
        </w:rPr>
      </w:pPr>
      <w:r w:rsidRPr="00E16045">
        <w:rPr>
          <w:lang w:val="lv-LV"/>
        </w:rPr>
        <w:t>HANDS yazılımı, öğretmenlerin her çocuğun ihtiyaçlarına özel belirli destek ve müdahale dizileri geliştirmek için kullandıkları esnek web tabanlı bir araç setinden oluşur. Bu diziler, her biri özelleştirilebilir metin, resim, video ve ses içerebilen, bağlantılı birden çok ekrandan oluşur. Bu özel “Kişisel Antrenör” dizileri, yazılımda da bulunan ilgili kapsamlı günlük özelliğine bağlanabilir. Kişisel antrenör dizileri şablon olarak kaydedilebilir ve paylaşım özelliği, öğretmenlerin mevcut dizileri diğer çocuklar için uyarlamasına olanak tanır. Sistem ayrıca, bir çocuğun mobil uygulamayı her kullandığında bir günlük dosyası kaydı oluşturan bir elektronik ayak izi özelliği içerir. Uygulama, Windows Dynamic Mobile kullanılarak geliştirildi ve kullanılan akıllı telefonlar arasında HTC Diamond ve HTC Touch HD vardı. Android 2.2'de de bir deneme uygulaması yapıldı. Bunları uygularken geliştiricilerin amacı, kullanıcıları sitede işlem yaparken dürüst olmaya ikna etmektir. HANDS, eğitim kurumlarında kullanılmak üzere ikna edici teknoloji tasarımını kullanan ilk projelerden biriydi. İlk prototipin niteliksel değerlendirmesine dayanarak (Mintz ve diğerleri, 2012), 2010 yazında geliştirilen ikinci HANDS prototipinin ("Prototip 2") tasarım ve uygulama prosedüründe çeşitli iyileştirmeler yapıldı. Bu iyileştirmeler, daha sezgisel ve daha az karmaşık bir grafik kullanıcı arayüzünü içeriyordu ve uygulama çocuklar tarafından kullanıma sunulmadan önce öğretmenlerle yapılan genişletilmiş beta testi sayesinde, teknik kararlılık derecesi de önemli ölçüde yüksekti. Öğretmenlerin Prototip 1 kullanma deneyimlerinin toplanmasına ve paylaşılmasına dayalı olarak, başarılı kullanım örneklerine dayalı gömülü pedagojik vaka çalışmaları ve paylaşılan görsellerden oluşan bir kitaplık ile iyileştirilmiş bir çevrimiçi rehberlik sistemi de oluşturulmuştur. Öğretmenler arasında iyi uygulama kullanımının sürekli gelişimi alışverişi, bireysel çocuklarla çalışma deneyimlerinin paylaşıldığı düzenli çevrimiçi toplantılarla da kolaylaştırılmıştır. Öğretmenlerden Prototip 1 deneyimlerinden iyi uygulama örneklerini kullanmaları ve çocuk için uygun bir zorlayıcı yaşam becerileri durumu ile bir sosyal beceri durumu seçmeleri istendi, örneğin bir çocuk otobüse bağımsız olarak binmek ve sosyal becerilere sahip olmak için yaşam becerileri görevine sahipti. becerilerin görevi telefonu kullanmak ve mesajı öğretmene iletmekti. Öğretmenler, bu gibi durumlarda yaşam veya sosyal becerilerin gelişimini teşvik etmek için müdahaleler geliştirmenin ana sorumluluğunu üstlendiler.</w:t>
      </w:r>
      <w:r w:rsidR="009B3BE8">
        <w:rPr>
          <w:lang w:val="lv-LV"/>
        </w:rPr>
        <w:t xml:space="preserve"> </w:t>
      </w:r>
    </w:p>
    <w:p w:rsidR="00AA583E" w:rsidRPr="00AB38C4" w:rsidRDefault="00E16045">
      <w:pPr>
        <w:rPr>
          <w:lang w:val="lv-LV"/>
        </w:rPr>
      </w:pPr>
      <w:r w:rsidRPr="00E16045">
        <w:rPr>
          <w:lang w:val="lv-LV"/>
        </w:rPr>
        <w:t xml:space="preserve">Otizm, sosyal becerilerdeki farklılıklar, sınırlı iletişim yetenekleri ve sıklıkla diğer insanlara daha fazla güvenmeyle sonuçlanan tekrarlayan davranışlarla karakterizedir. Ulaşım, genellikle aile üyeleri için zorluklara neden olan görevlerden sadece biridir. Toplu taşıma, bağımsızlığı teşvik eden ucuz ve yaygın olarak bulunabilen bir seyahat şeklidir, ancak soyut bilgileri (örn. haritalar, servis programları, vb.) ), beklenmedik sorunları çözmek ve yerinden edilmenin zamanında yönetimi. Bu nedenle otizm </w:t>
      </w:r>
      <w:r w:rsidRPr="00E16045">
        <w:rPr>
          <w:lang w:val="lv-LV"/>
        </w:rPr>
        <w:lastRenderedPageBreak/>
        <w:t>spektrum bozukluğu olan çoğu insan toplu taşıma araçlarını kullanmaz ve kullanmayı hiç düşünmemiştir. Burada otizm için bir toplu taşıma uygulaması olan OrienTrip'in otistik insanlar ve sağlık uzmanlarıyla etkinliğini değerlendiriyoruz. OrienTrip'in otizmli insanlar için toplu taşıma kullanımını kolaylaştırmak için etkili bir araç olduğunu buldu. Otistik spektrumdaki insanlar uygulamadan duydukları memnuniyeti dile getirdiler ve toplu taşımayı kullanmayı kolaylaştırdığı konusunda hemfikirdiler. Sağlık çalışanları da benzer bir görüş dile getirerek, OrienTrip'in otizmli bireylerin toplu taşıma araçlarını güvenli bir şekilde kullanmalarına yardımcı olduğuna dikkat çekti. Otizm, sosyal becerilerdeki farklılıklar, sınırlı iletişim yetenekleri ve genellikle günlük aktiviteler için diğer insanlara daha fazla güvenme ile sonuçlanan tekrarlayan davranışlar ile karakterize edilen bir durumdur. Ulaşım, genellikle aile üyeleri için zorluklara neden olan görevlerden sadece biridir. Toplu taşıma, seyahat ederken başkalarına yük olmadan bağımsızlığı teşvik eden, ucuz ve yaygın olarak bulunabilen bir hareketlilik biçimidir. Ayrıca, otizm topluluğu tarafından daha fazla özerklik sağlama ve yaşam kalitesini iyileştirme yeteneğini desteklediği belirtilmiştir, ancak bu seyahat şekli, soyut bilgiler dahil ancak bunlarla sınırlı olmamak üzere beceriler gerektirdiğinden, spektrumdaki insanlar için benzersiz zorluklar sunar. (örn. haritalar, servis çizelgeleri, işaretlerin ve yer işaretlerinin anlaşılması), beklenmeyen sorunları çözme ve hareketi zamanında yönetme. Toplu taşımayı otistik spektrumdaki insanlar için daha kolay hale getirmek için otistik insanlarla geliştirilen toplu taşıma planlayıcı mobil uygulaması OrienTrip'i geliştirdik. Burada, iki pilot çalışma kullanarak OrienTrip'in etkinliğini ve etkililiğini değerlendiriyoruz. OrienTrip, otistik spektrumdaki insanlar için bağımsız seyahati kolaylaştırmak için otistik insanlar tarafından ortaklaşa geliştirilen toplu taşıma kullanımını planlayan bir mobil uygulamadır. Geliştirme sürecine beş ilke rehberlik etti: (1) güvenlik, (2) mekansal farkındalığı artırma, (3) iletişimi kolaylaştırma, (4) kaygıyı ve aşırı duyusal yüklenmeyi azaltma ve (5) seyahat planlamasını basitleştirme.</w:t>
      </w:r>
    </w:p>
    <w:p w:rsidR="00E16045" w:rsidRPr="00E16045" w:rsidRDefault="00E16045" w:rsidP="00E16045">
      <w:pPr>
        <w:rPr>
          <w:lang w:val="lv-LV"/>
        </w:rPr>
      </w:pPr>
      <w:r w:rsidRPr="00E16045">
        <w:rPr>
          <w:lang w:val="lv-LV"/>
        </w:rPr>
        <w:t>Hareketin önündeki engeller</w:t>
      </w:r>
    </w:p>
    <w:p w:rsidR="00AA583E" w:rsidRPr="002F4062" w:rsidRDefault="00E16045" w:rsidP="00E16045">
      <w:pPr>
        <w:rPr>
          <w:lang w:val="lv-LV"/>
        </w:rPr>
      </w:pPr>
      <w:r w:rsidRPr="00E16045">
        <w:rPr>
          <w:lang w:val="lv-LV"/>
        </w:rPr>
        <w:t>Anketin en önemli amacı, AST'li yetişkinlerin karşılaştığı hareketlilik engellerini belirlemekti. Bu amaca uygun olarak anket, belirli bir ulaşım şeklinin seçimi ile ilgili yürüme, otistik veya direksiyonda başka bir kişi ile araba kullanma ve toplu taşıma gibi çeşitli soruları içermiştir. Aşağıdaki metin, her tür için anket yanıtlarını özetlemektedir.</w:t>
      </w:r>
    </w:p>
    <w:p w:rsidR="00E16045" w:rsidRPr="00E16045" w:rsidRDefault="00E16045" w:rsidP="00E16045">
      <w:pPr>
        <w:rPr>
          <w:lang w:val="lv-LV"/>
        </w:rPr>
      </w:pPr>
      <w:r w:rsidRPr="00E16045">
        <w:rPr>
          <w:lang w:val="lv-LV"/>
        </w:rPr>
        <w:t>Yürümenin önündeki engeller</w:t>
      </w:r>
    </w:p>
    <w:p w:rsidR="00AA583E" w:rsidRPr="003D53EE" w:rsidRDefault="00E16045" w:rsidP="00E16045">
      <w:pPr>
        <w:rPr>
          <w:lang w:val="lv-LV"/>
        </w:rPr>
      </w:pPr>
      <w:r w:rsidRPr="00E16045">
        <w:rPr>
          <w:lang w:val="lv-LV"/>
        </w:rPr>
        <w:t>Anket katılımcılarına, mahallelerinde yürümelerini engelleyebilecek olası engellerin bir listesi verildi. Liste, kaldırımların olmaması veya kalitesiz olması, sokak aydınlatmasının olmaması, kavşakların veya geçitlerin kalitesiz olması, trafik hızı ve hacmi, suç ve yakındaki varış noktalarının olmamasını içeriyordu. Ayrıca, katılımcılar "Diğer" adlı ayrı bir kategori seçip listelenmeyen engelleri belirtebilirler. Ankete katılanların çoğunluğu listeden şu engelleri seçti: varış noktalarının olmaması (katılımcıların %25,0'ı), trafiğin hızı ve hacmi (%24,9) ve kaldırımların olmaması veya kalitesiz olması (%17,4). En az seçilen engeller suç (katılımcıların %5,3'ü), sokak aydınlatmasının olmaması (%8,7) ve kavşakların ve geçişlerin kalitesiz olması (%11,9) idi. Belki daha da önemlisi, yanıt verenlerin %28,2'si “Diğer” kategorisini seçmiş ve teşhisleriyle ilgili bozuklukları her zaman yürümenin önündeki engeller olarak sıralamıştır, bu nedenle yanıtlar o popülasyonun yürümesinin önündeki bazı çevresel engellerin AST'li kişiler için de geçerli olduğunu belirtmiş olsa da , ikincisi, bozuklukları nedeniyle ek engellerle karşı karşıyadır.</w:t>
      </w:r>
    </w:p>
    <w:p w:rsidR="00AA583E" w:rsidRPr="00975F1D" w:rsidRDefault="00E16045">
      <w:pPr>
        <w:rPr>
          <w:lang w:val="lv-LV"/>
        </w:rPr>
      </w:pPr>
      <w:r w:rsidRPr="00E16045">
        <w:rPr>
          <w:lang w:val="lv-LV"/>
        </w:rPr>
        <w:t xml:space="preserve">AST'si olmayan bireyler mahallelerinde yürümeyi zor bir görev olarak görmeseler de, AST'li birçok kişinin sahip olmadığı belirli beceri ve yetenekler gerektirir. Katılımcılara çevrelerinde güvenli bir </w:t>
      </w:r>
      <w:r w:rsidRPr="00E16045">
        <w:rPr>
          <w:lang w:val="lv-LV"/>
        </w:rPr>
        <w:lastRenderedPageBreak/>
        <w:t>şekilde yürümek için gerekli becerilere sahip olup olmadıklarını kontrol etmek için yürümenin farklı yönleriyle ilgili zorluk yaşayıp yaşamadıkları sorulmuştur. Liste tekrar kendilerine verilmiş ve bir veya daha fazla konuda zorluk yaşayıp yaşamadıklarını belirtmeleri istenmiştir. Yanıtlar Tablo 5'te özetlenmiştir. Yanıtlar, AST'li kişilerin büyük bir bölümünün karşıdan karşıya geçme, araç mesafesini ve AST'si olmayan kişilerin normal kabul ettiği yönü belirleme gibi temel becerilerde zorluk yaşadığını ve AST'li kişilerin büyük bir bölümünün dikkat dağınıklığını kontrol etmesi gerektiğini göstermektedir. Ankete katılanların %53,5'i, başkalarının yardımı olmadan yolu güvenli bir şekilde nasıl geçeceğini bilmediğini söyledi.</w:t>
      </w:r>
    </w:p>
    <w:p w:rsidR="00E16045" w:rsidRPr="00E16045" w:rsidRDefault="00E16045" w:rsidP="00E16045">
      <w:pPr>
        <w:rPr>
          <w:lang w:val="lv-LV"/>
        </w:rPr>
      </w:pPr>
      <w:r w:rsidRPr="00E16045">
        <w:rPr>
          <w:lang w:val="lv-LV"/>
        </w:rPr>
        <w:t>Araba kullanmanın önündeki engeller</w:t>
      </w:r>
    </w:p>
    <w:p w:rsidR="00AA583E" w:rsidRPr="00900A89" w:rsidRDefault="00E16045" w:rsidP="00E16045">
      <w:pPr>
        <w:rPr>
          <w:lang w:val="lv-LV"/>
        </w:rPr>
      </w:pPr>
      <w:r w:rsidRPr="00E16045">
        <w:rPr>
          <w:lang w:val="lv-LV"/>
        </w:rPr>
        <w:t>AST'ye anket yapılan yetişkinlerin çoğunluğu için, evlerinde araçların bulunmaması, araç kullanmanın önünde bir engel değildir. Anket, katılımcıların yalnızca %3,6'sının araçsız hanelerde yaşadığını; %26,4'ü tek araçlı hanelerde, %46,9'u iki araçlı hanelerde ve %23,1'i üç veya daha fazla aracın bulunduğu hanelerde yaşıyordu, ancak AST'li yetişkinlerin sadece %9,3'ü ehliyete sahipti ve birçoğu sadece kimlik olarak kullanılıyordu. , gerçek bir sürücü belgesi olarak değil. Ehliyeti olan 47 kişiden %61,4'ü araç kullanmanın kendileri için zor olduğunu belirtti. Belirli zorluklarla ilgili soruyu cevaplarken, ehliyet sahibi kişilerin %55,3'ü trafikle baş etme güçlüklerinden, %34,0'ı - yolların yakınındaki engellerin neden olduğu güçlüklerden, %27,7'si mesafe tahmin etme güçlüklerinden ve diğer %27,7'si - park etme güçlüklerinden bahsetmiştir. araba. Bu zorluklar nedeniyle ehliyet sahibi olanların %26,1'i hiç araba kullanmamış, %19,6'sı haftada bir kereden az, %30,4'ü haftada bir ve daha fazla ve sadece %23,9'u her gün araç kullanmıştır.</w:t>
      </w:r>
    </w:p>
    <w:p w:rsidR="00E16045" w:rsidRPr="00E16045" w:rsidRDefault="00E16045" w:rsidP="00E16045">
      <w:pPr>
        <w:rPr>
          <w:sz w:val="28"/>
          <w:szCs w:val="28"/>
          <w:lang w:val="lv-LV"/>
        </w:rPr>
      </w:pPr>
      <w:r w:rsidRPr="00E16045">
        <w:rPr>
          <w:sz w:val="28"/>
          <w:szCs w:val="28"/>
          <w:lang w:val="lv-LV"/>
        </w:rPr>
        <w:t>Öneriler</w:t>
      </w:r>
    </w:p>
    <w:p w:rsidR="00E16045" w:rsidRPr="00E16045" w:rsidRDefault="00E16045" w:rsidP="00E16045">
      <w:pPr>
        <w:jc w:val="both"/>
        <w:rPr>
          <w:szCs w:val="28"/>
          <w:lang w:val="lv-LV"/>
        </w:rPr>
      </w:pPr>
      <w:r w:rsidRPr="00E16045">
        <w:rPr>
          <w:szCs w:val="28"/>
          <w:lang w:val="lv-LV"/>
        </w:rPr>
        <w:t>İlke 1: İhtiyaçları belirlemek için çocuklarla birlikte çalışın</w:t>
      </w:r>
    </w:p>
    <w:p w:rsidR="00E16045" w:rsidRPr="00E16045" w:rsidRDefault="00E16045" w:rsidP="00E16045">
      <w:pPr>
        <w:jc w:val="both"/>
        <w:rPr>
          <w:szCs w:val="28"/>
          <w:lang w:val="lv-LV"/>
        </w:rPr>
      </w:pPr>
      <w:r w:rsidRPr="00E16045">
        <w:rPr>
          <w:szCs w:val="28"/>
          <w:lang w:val="lv-LV"/>
        </w:rPr>
        <w:t>İkna teknolojileri hakkındaki genel literatür ve bizim değerlendirmemiz, AST'li çocuklar ve gençler için mobil ikna müdahalelerinin, eğer çocuk hem a) zorlukların/problemlerin farkında ve kabul ediyorsa, hem de b) olumlu davranış değişikliği elde etmek için motiveyse muhtemelen daha etkili olacağını göstermektedir. . Öğretmenler, öğrencilerin ihtiyaçlarını anlamaları ve davranış değişikliği için içsel motivasyonun kilit bir aracı olduğu gerçeğine dayalı olarak benzer sistemler için müdahaleler tasarlamalıdır. 'En iyisini öğretmen bilir' pozisyonundan başlamak yerine, çocuk veya gencin hemfikir olduğu müdahaleleri belirlemek için çocuklar ve gençlerle birlikte çalışmalıdırlar. Bu tür sistemleri bir okulda uygularken, HANDS yazılımına benzer sistemlerde onlar için tasarlanan müdahaleler üzerindeki kontrol düzeyleri açısından çocuğun veya gencin özerkliğinin artırılmasına çok dikkat edilmelidir.</w:t>
      </w:r>
    </w:p>
    <w:p w:rsidR="00AA583E" w:rsidRPr="00E16045" w:rsidRDefault="00E16045" w:rsidP="00E16045">
      <w:pPr>
        <w:jc w:val="both"/>
        <w:rPr>
          <w:sz w:val="18"/>
          <w:lang w:val="lv-LV"/>
        </w:rPr>
      </w:pPr>
      <w:r w:rsidRPr="00E16045">
        <w:rPr>
          <w:szCs w:val="28"/>
          <w:lang w:val="lv-LV"/>
        </w:rPr>
        <w:t>Okulda bunları uygularken yetişkinlerin biraz gözetimi ve teşviki her zaman gerekli olsa da, müdahale önlemlerinin geliştirilmesinde çocuğun kendi kontrolüne daha fazla vurgu yapılmalıdır.</w:t>
      </w:r>
    </w:p>
    <w:p w:rsidR="00E16045" w:rsidRDefault="00E16045">
      <w:pPr>
        <w:rPr>
          <w:sz w:val="24"/>
          <w:szCs w:val="24"/>
          <w:lang w:val="lv-LV"/>
        </w:rPr>
      </w:pPr>
      <w:r w:rsidRPr="00E16045">
        <w:rPr>
          <w:sz w:val="24"/>
          <w:szCs w:val="24"/>
          <w:lang w:val="lv-LV"/>
        </w:rPr>
        <w:t>Yönerge 2: Hangi çocukların en çok fayda sağlayacağını belirleyin</w:t>
      </w:r>
    </w:p>
    <w:p w:rsidR="00E16045" w:rsidRPr="00E16045" w:rsidRDefault="00E16045" w:rsidP="00E16045">
      <w:pPr>
        <w:rPr>
          <w:lang w:val="lv-LV"/>
        </w:rPr>
      </w:pPr>
      <w:r w:rsidRPr="00E16045">
        <w:rPr>
          <w:lang w:val="lv-LV"/>
        </w:rPr>
        <w:t>Öğretmenlerin, ihtiyaçları çocuğun bakış açısından belirlemeye odaklanmasını öneriyoruz. Bu kesinlikle çok önemlidir, ancak bilişsel bozukluğu olan bazı çocuklar, eğitim ve sosyal fırsatlarını azaltmada önemli faktörler olan sosyal ve yaşam becerilerindeki zorlukları tanımakta çok daha zorlanacaktır. Bu gibi durumlarda, davranışsal mesajların HANDS yazılımına benzer sistemlerde anında sunulmasının, olumlu davranış değişikliğini teşvik etmesi olası değildir.</w:t>
      </w:r>
    </w:p>
    <w:p w:rsidR="00AA583E" w:rsidRPr="00D2065B" w:rsidRDefault="00E16045" w:rsidP="00E16045">
      <w:pPr>
        <w:rPr>
          <w:lang w:val="lv-LV"/>
        </w:rPr>
      </w:pPr>
      <w:r w:rsidRPr="00E16045">
        <w:rPr>
          <w:lang w:val="lv-LV"/>
        </w:rPr>
        <w:t xml:space="preserve">Değerlendirmemiz, AST'li bazı çocukların bu teknoloji için özellikle uygun olabileceğini göstermektedir. Kaynaştırmaya engel teşkil eden sosyal ve yaşam becerileri zorluklarının farkında </w:t>
      </w:r>
      <w:r w:rsidRPr="00E16045">
        <w:rPr>
          <w:lang w:val="lv-LV"/>
        </w:rPr>
        <w:lastRenderedPageBreak/>
        <w:t>olan ve aynı anda davranış değiştirmeye motive olan çocukların daha açıklayıcı olma olasılığı daha yüksektir ve AST'li bazı gençlerin davranış değişikliği mesajlarını almak yerine mobil cihazlardan almayı tercih edebileceğini tespit ediyoruz. yetişkinlerde, özellikle bu fenomen için iki olası açıklama göz önüne alındığında, özellikle önemlidir. Birinci neden, bilişsel işlem hızındaki altta yatan bozuklukların, dikkat eksikliği/hiperaktivite bozukluğu olan gençler gibi bu tür bozukluğu olan diğer popülasyonlar için de geçerli olabilmesidir (bkz. Mayes &amp; Calhoun, 2007). İkinci neden, seçimi gencin özerklik arzusuna dayalı olarak açıklar (yani, öğretmenin memnuniyetsizliğini dinlemekten daha iyidir) - hangi müdahalelere karar verirken AST'li gençlerin görüşlerinin dikkate alınması gereğini daha da vurgulamaktadır. uygulanması ve bunların nasıl yapılandırılacağı</w:t>
      </w:r>
      <w:r w:rsidR="00574572" w:rsidRPr="00574572">
        <w:rPr>
          <w:lang w:val="lv-LV"/>
        </w:rPr>
        <w:t>.</w:t>
      </w:r>
    </w:p>
    <w:p w:rsidR="00AA583E" w:rsidRDefault="00D2065B">
      <w:pPr>
        <w:rPr>
          <w:b/>
          <w:sz w:val="28"/>
          <w:szCs w:val="28"/>
        </w:rPr>
      </w:pPr>
      <w:proofErr w:type="spellStart"/>
      <w:r>
        <w:rPr>
          <w:b/>
          <w:sz w:val="28"/>
          <w:szCs w:val="28"/>
        </w:rPr>
        <w:t>Literatūra</w:t>
      </w:r>
      <w:proofErr w:type="spellEnd"/>
    </w:p>
    <w:p w:rsidR="00AA583E" w:rsidRDefault="00605DCB">
      <w:r>
        <w:t xml:space="preserve">Amber, N., </w:t>
      </w:r>
      <w:proofErr w:type="spellStart"/>
      <w:r>
        <w:t>Schrodt</w:t>
      </w:r>
      <w:proofErr w:type="spellEnd"/>
      <w:r>
        <w:t xml:space="preserve">, P., Witt, P., </w:t>
      </w:r>
      <w:proofErr w:type="spellStart"/>
      <w:r>
        <w:t>Elledge</w:t>
      </w:r>
      <w:proofErr w:type="spellEnd"/>
      <w:r>
        <w:t xml:space="preserve">, N., </w:t>
      </w:r>
      <w:proofErr w:type="spellStart"/>
      <w:r>
        <w:t>Jernberg</w:t>
      </w:r>
      <w:proofErr w:type="spellEnd"/>
      <w:r>
        <w:t xml:space="preserve">, K., &amp; Larson, L. (2009). A meta-analytical review of teacher credibility and its associations with teacher </w:t>
      </w:r>
      <w:proofErr w:type="spellStart"/>
      <w:r>
        <w:t>behaviors</w:t>
      </w:r>
      <w:proofErr w:type="spellEnd"/>
      <w:r>
        <w:t xml:space="preserve"> and student outcomes. Communication Education, 58(4), 516–537. </w:t>
      </w:r>
    </w:p>
    <w:p w:rsidR="00AA583E" w:rsidRDefault="00605DCB">
      <w:r>
        <w:t xml:space="preserve">Aurora. (2000). The Aurora project. Retrieved 25.11.11, from. updated 2008. </w:t>
      </w:r>
      <w:hyperlink r:id="rId7">
        <w:r>
          <w:rPr>
            <w:color w:val="0563C1"/>
            <w:u w:val="single"/>
          </w:rPr>
          <w:t>http://www.aurora-project.com</w:t>
        </w:r>
      </w:hyperlink>
      <w:r>
        <w:t xml:space="preserve">. Bandura, A. (1977). Self-efficacy: toward a unifying theory of </w:t>
      </w:r>
      <w:proofErr w:type="spellStart"/>
      <w:r>
        <w:t>behavioral</w:t>
      </w:r>
      <w:proofErr w:type="spellEnd"/>
      <w:r>
        <w:t xml:space="preserve"> change. Psychological Review, 84(2), 191–215. http://dx.doi.org/10.1037/0033-295X.84.2.191, American Psychological Association.</w:t>
      </w:r>
    </w:p>
    <w:p w:rsidR="00AA583E" w:rsidRDefault="00605DCB">
      <w:r>
        <w:t>Bandura, A. (1986). The explanatory and predictive scope of self-efficacy theory. Journal of Social and Clinical Psychology, 4(3), 359–373, Guilford Publications. Retrieved from. http://www.atypon-link.com/GPI/doi/abs/10.1521/jscp.1986.4.3.359.</w:t>
      </w:r>
    </w:p>
    <w:p w:rsidR="00AA583E" w:rsidRDefault="00605DCB">
      <w:r>
        <w:t>Bandura, A. (1991). Human agency: the rhetoric and the reality. American Psychologist, 46(2), 157–162. http://dx.doi.org/10.1037/0003-066X.46.2.157.</w:t>
      </w:r>
    </w:p>
    <w:p w:rsidR="00AA583E" w:rsidRDefault="00605DCB">
      <w:r>
        <w:t>Baron-Cohen, S., Leslie, A. M., &amp; Frith, U. (1985). Does the autistic child have a “theory of mind”? Cognition, 21(1), 37–46.</w:t>
      </w:r>
    </w:p>
    <w:p w:rsidR="00AA583E" w:rsidRDefault="00605DCB">
      <w:r>
        <w:t>Bernard-</w:t>
      </w:r>
      <w:proofErr w:type="spellStart"/>
      <w:r>
        <w:t>Opitz</w:t>
      </w:r>
      <w:proofErr w:type="spellEnd"/>
      <w:r>
        <w:t xml:space="preserve">, V., </w:t>
      </w:r>
      <w:proofErr w:type="spellStart"/>
      <w:r>
        <w:t>Sriram</w:t>
      </w:r>
      <w:proofErr w:type="spellEnd"/>
      <w:r>
        <w:t xml:space="preserve">, N., &amp; </w:t>
      </w:r>
      <w:proofErr w:type="spellStart"/>
      <w:r>
        <w:t>Nakhoda-Sapuan</w:t>
      </w:r>
      <w:proofErr w:type="spellEnd"/>
      <w:r>
        <w:t>, S. (2001). Enhancing social problem solving in children with autism and normal children through computer-assisted instruction. Journal of Autism and Developmental Disorders, 31, 377–384.</w:t>
      </w:r>
    </w:p>
    <w:p w:rsidR="00AA583E" w:rsidRDefault="00605DCB">
      <w:r>
        <w:t xml:space="preserve">Brown, D. J., McHugh, D., </w:t>
      </w:r>
      <w:proofErr w:type="spellStart"/>
      <w:r>
        <w:t>Standen</w:t>
      </w:r>
      <w:proofErr w:type="spellEnd"/>
      <w:r>
        <w:t xml:space="preserve">, P., </w:t>
      </w:r>
      <w:proofErr w:type="spellStart"/>
      <w:r>
        <w:t>Evett</w:t>
      </w:r>
      <w:proofErr w:type="spellEnd"/>
      <w:r>
        <w:t xml:space="preserve">, L., </w:t>
      </w:r>
      <w:proofErr w:type="spellStart"/>
      <w:r>
        <w:t>Shopland</w:t>
      </w:r>
      <w:proofErr w:type="spellEnd"/>
      <w:r>
        <w:t xml:space="preserve">, N., &amp; </w:t>
      </w:r>
      <w:proofErr w:type="spellStart"/>
      <w:r>
        <w:t>Battersby</w:t>
      </w:r>
      <w:proofErr w:type="spellEnd"/>
      <w:r>
        <w:t>, S. (2011). Designing location-based learning experiences for people with intellectual disabilities and additional sensory impairments. Computers &amp; Education, 56(1), 11–20.</w:t>
      </w:r>
    </w:p>
    <w:p w:rsidR="00AA583E" w:rsidRDefault="00605DCB">
      <w:proofErr w:type="spellStart"/>
      <w:r>
        <w:t>Carley</w:t>
      </w:r>
      <w:proofErr w:type="spellEnd"/>
      <w:r>
        <w:t xml:space="preserve">, K. (1990). Content analysis. In R. E. Asher (Ed.), The encyclopaedia of language and linguistics. Edinburgh, UK: </w:t>
      </w:r>
      <w:proofErr w:type="spellStart"/>
      <w:r>
        <w:t>Pergamon</w:t>
      </w:r>
      <w:proofErr w:type="spellEnd"/>
      <w:r>
        <w:t xml:space="preserve"> Press.</w:t>
      </w:r>
    </w:p>
    <w:p w:rsidR="00AA583E" w:rsidRDefault="00605DCB">
      <w:proofErr w:type="spellStart"/>
      <w:r>
        <w:t>Carmien</w:t>
      </w:r>
      <w:proofErr w:type="spellEnd"/>
      <w:r>
        <w:t>, S. (2004). Task support for people with cognitive impairments and their caregivers. American Journal of Occupational Therapy, 4, 1–4.</w:t>
      </w:r>
    </w:p>
    <w:p w:rsidR="00AA583E" w:rsidRDefault="00605DCB">
      <w:proofErr w:type="spellStart"/>
      <w:r>
        <w:t>Carmien</w:t>
      </w:r>
      <w:proofErr w:type="spellEnd"/>
      <w:r>
        <w:t xml:space="preserve">, S., Dawe, M., Fischer, G., Gorman, A., </w:t>
      </w:r>
      <w:proofErr w:type="spellStart"/>
      <w:r>
        <w:t>Kintsch</w:t>
      </w:r>
      <w:proofErr w:type="spellEnd"/>
      <w:r>
        <w:t>, A., &amp; Sullivan, J. F. (June 2005). Socio-technical environments supporting people with cognitive disabilities using public</w:t>
      </w:r>
      <w:r w:rsidR="00D2065B">
        <w:t xml:space="preserve"> </w:t>
      </w:r>
      <w:r>
        <w:t>transportation. ACM Transactions on Computer-Human Interaction, 12(2), 233–262.</w:t>
      </w:r>
    </w:p>
    <w:p w:rsidR="00AA583E" w:rsidRDefault="00605DCB">
      <w:r>
        <w:lastRenderedPageBreak/>
        <w:t xml:space="preserve">Carter, A. S., </w:t>
      </w:r>
      <w:proofErr w:type="spellStart"/>
      <w:r>
        <w:t>Volkmar</w:t>
      </w:r>
      <w:proofErr w:type="spellEnd"/>
      <w:r>
        <w:t xml:space="preserve">, F. R., Sparrow, S. S., Wang, J.-J., Lord, C., Dawson, G., et al. (1998). The Vineland Adaptive </w:t>
      </w:r>
      <w:proofErr w:type="spellStart"/>
      <w:r>
        <w:t>Behavior</w:t>
      </w:r>
      <w:proofErr w:type="spellEnd"/>
      <w:r>
        <w:t xml:space="preserve"> Scales: supplementary norms for individuals with autism. Journal of Autism and Developmental Disorders, 28(4), 287–302.</w:t>
      </w:r>
    </w:p>
    <w:p w:rsidR="00AA583E" w:rsidRDefault="00605DCB">
      <w:proofErr w:type="spellStart"/>
      <w:r>
        <w:t>Charman</w:t>
      </w:r>
      <w:proofErr w:type="spellEnd"/>
      <w:r>
        <w:t xml:space="preserve">, T., </w:t>
      </w:r>
      <w:proofErr w:type="spellStart"/>
      <w:r>
        <w:t>Howlin</w:t>
      </w:r>
      <w:proofErr w:type="spellEnd"/>
      <w:r>
        <w:t>, P., Berry, B., &amp; Prince, E. (2004). Measuring developmental progress of children with autism spectrum disorder on school entry using parent report.</w:t>
      </w:r>
    </w:p>
    <w:p w:rsidR="00AA583E" w:rsidRDefault="00605DCB">
      <w:r>
        <w:t>Autism: The International Journal of Research and Practice, 8(1), 89–100. http://dx.doi.org/10.1177/1362361304040641.</w:t>
      </w:r>
    </w:p>
    <w:p w:rsidR="00AA583E" w:rsidRDefault="00605DCB">
      <w:r>
        <w:t xml:space="preserve">Cohen, L., </w:t>
      </w:r>
      <w:proofErr w:type="spellStart"/>
      <w:r>
        <w:t>Manion</w:t>
      </w:r>
      <w:proofErr w:type="spellEnd"/>
      <w:r>
        <w:t xml:space="preserve">, L., &amp; Morrison, K. (2007). Research Methods in education (6th ed.). London, UK: Routledge </w:t>
      </w:r>
      <w:proofErr w:type="spellStart"/>
      <w:r>
        <w:t>Falmer</w:t>
      </w:r>
      <w:proofErr w:type="spellEnd"/>
      <w:r>
        <w:t>.</w:t>
      </w:r>
    </w:p>
    <w:p w:rsidR="00AA583E" w:rsidRDefault="00605DCB">
      <w:proofErr w:type="spellStart"/>
      <w:r>
        <w:t>COMScore</w:t>
      </w:r>
      <w:proofErr w:type="spellEnd"/>
      <w:r>
        <w:t>. (2012). 2012 Mobile future in focus [Online]. Available. http://www.comscore.com/Press_Events/Presentations_Whitepapers/2012/2012_Mobile_Future_in_Focus</w:t>
      </w:r>
    </w:p>
    <w:p w:rsidR="00AA583E" w:rsidRDefault="00605DCB">
      <w:proofErr w:type="spellStart"/>
      <w:r>
        <w:t>Dautenhahan</w:t>
      </w:r>
      <w:proofErr w:type="spellEnd"/>
      <w:r>
        <w:t xml:space="preserve">, K., &amp; </w:t>
      </w:r>
      <w:proofErr w:type="spellStart"/>
      <w:r>
        <w:t>Werry</w:t>
      </w:r>
      <w:proofErr w:type="spellEnd"/>
      <w:r>
        <w:t>, I. (2004). Towards interactive robots in autism therapy: background, motivation and challenges. Pragmatics and Cognition, 12(1), 1–35.</w:t>
      </w:r>
    </w:p>
    <w:p w:rsidR="00AA583E" w:rsidRDefault="00605DCB">
      <w:proofErr w:type="spellStart"/>
      <w:r>
        <w:t>Deci</w:t>
      </w:r>
      <w:proofErr w:type="spellEnd"/>
      <w:r>
        <w:t xml:space="preserve">, E. L., &amp; Ryan, R. M. (2008). Self-determination theory: a </w:t>
      </w:r>
      <w:proofErr w:type="spellStart"/>
      <w:r>
        <w:t>macrotheory</w:t>
      </w:r>
      <w:proofErr w:type="spellEnd"/>
      <w:r>
        <w:t xml:space="preserve"> of human motivation, development, and health. Canadian Psychology/</w:t>
      </w:r>
      <w:proofErr w:type="spellStart"/>
      <w:r>
        <w:t>Psychologie</w:t>
      </w:r>
      <w:proofErr w:type="spellEnd"/>
      <w:r>
        <w:t xml:space="preserve"> </w:t>
      </w:r>
      <w:proofErr w:type="spellStart"/>
      <w:r>
        <w:t>Canadienne</w:t>
      </w:r>
      <w:proofErr w:type="spellEnd"/>
      <w:r>
        <w:t>, 49(3), 182–185. http://dx.doi.org/10.1037/a0012801.</w:t>
      </w:r>
    </w:p>
    <w:p w:rsidR="00AA583E" w:rsidRDefault="00605DCB">
      <w:r>
        <w:t>Dexter, S. L., Anderson, R. E., &amp; Becker, H. J. (2000). Teachers’ views of computers as catalysts for changes in their teaching practice. Journal of Research on Computing in Education, 31(3), 222–232.</w:t>
      </w:r>
    </w:p>
    <w:p w:rsidR="00AA583E" w:rsidRDefault="00605DCB">
      <w:r>
        <w:t xml:space="preserve">Farr, W., </w:t>
      </w:r>
      <w:proofErr w:type="spellStart"/>
      <w:r>
        <w:t>Yuill</w:t>
      </w:r>
      <w:proofErr w:type="spellEnd"/>
      <w:r>
        <w:t>, N., &amp; Raffle, H. (2010). Social benefits of a tangible user interface for children with Autistic Spectrum conditions. Autism, 14(3), 237–252.</w:t>
      </w:r>
    </w:p>
    <w:p w:rsidR="00AA583E" w:rsidRDefault="00605DCB">
      <w:proofErr w:type="spellStart"/>
      <w:r>
        <w:t>Fereday</w:t>
      </w:r>
      <w:proofErr w:type="spellEnd"/>
      <w:r>
        <w:t>, J., &amp; Muir-Cochrane, E. (2006). Demonstrating rigor using thematic analysis: a hybrid approach of inductive and deductive coding and theme development.</w:t>
      </w:r>
    </w:p>
    <w:p w:rsidR="00AA583E" w:rsidRDefault="00605DCB">
      <w:r>
        <w:t>International Journal of Qualitative Methods, 5(1), 80–92.</w:t>
      </w:r>
    </w:p>
    <w:p w:rsidR="00AA583E" w:rsidRDefault="00605DCB">
      <w:r>
        <w:t>Fogg, B. J. (2003). Persuasive technology. Using computers to change what we think and do. San Francisco, CA: Morgan Kaufman Publishers.</w:t>
      </w:r>
    </w:p>
    <w:p w:rsidR="00AA583E" w:rsidRDefault="00605DCB">
      <w:r>
        <w:t xml:space="preserve">Fogg, B., Cuellar, G., &amp; Danielson, D. R. (2008). Motivating, influencing, and persuading users. In J. A. </w:t>
      </w:r>
      <w:proofErr w:type="spellStart"/>
      <w:r>
        <w:t>Jacko</w:t>
      </w:r>
      <w:proofErr w:type="spellEnd"/>
      <w:r>
        <w:t xml:space="preserve"> (Ed.), The handbook of human-computer interaction (pp. 359–370).</w:t>
      </w:r>
    </w:p>
    <w:p w:rsidR="00AA583E" w:rsidRDefault="00605DCB">
      <w:r>
        <w:t>CRC Press.</w:t>
      </w:r>
    </w:p>
    <w:p w:rsidR="00AA583E" w:rsidRDefault="00605DCB">
      <w:r>
        <w:t xml:space="preserve">Fogg, B. J., &amp; </w:t>
      </w:r>
      <w:proofErr w:type="spellStart"/>
      <w:r>
        <w:t>Eckles</w:t>
      </w:r>
      <w:proofErr w:type="spellEnd"/>
      <w:r>
        <w:t xml:space="preserve">, D. (2007). Mobile persuasion. 20 perspectives on the future of </w:t>
      </w:r>
      <w:proofErr w:type="spellStart"/>
      <w:r>
        <w:t>behavior</w:t>
      </w:r>
      <w:proofErr w:type="spellEnd"/>
      <w:r>
        <w:t xml:space="preserve"> change. Stanford: Stanford </w:t>
      </w:r>
      <w:proofErr w:type="spellStart"/>
      <w:r>
        <w:t>Captology</w:t>
      </w:r>
      <w:proofErr w:type="spellEnd"/>
      <w:r>
        <w:t xml:space="preserve"> Media.</w:t>
      </w:r>
    </w:p>
    <w:p w:rsidR="00AA583E" w:rsidRDefault="00605DCB">
      <w:proofErr w:type="spellStart"/>
      <w:r>
        <w:t>Fombonne</w:t>
      </w:r>
      <w:proofErr w:type="spellEnd"/>
      <w:r>
        <w:t>, E. (2003). Epidemiological surveys of autism and other pervasive developmental disorders: an update. Journal of Autism and Developmental Disorders, 33(4), 365–381.</w:t>
      </w:r>
    </w:p>
    <w:p w:rsidR="00AA583E" w:rsidRDefault="00605DCB">
      <w:r>
        <w:t xml:space="preserve">Frith, U., &amp; </w:t>
      </w:r>
      <w:proofErr w:type="spellStart"/>
      <w:r>
        <w:t>Happé</w:t>
      </w:r>
      <w:proofErr w:type="spellEnd"/>
      <w:r>
        <w:t>, F. (1994). Autism: beyond “theory of mind”. Cognition, 50(1–3), 115–132, The MIT Press.</w:t>
      </w:r>
    </w:p>
    <w:p w:rsidR="00AA583E" w:rsidRDefault="00605DCB">
      <w:r>
        <w:t xml:space="preserve">Gentry, T., Wallace, J., </w:t>
      </w:r>
      <w:proofErr w:type="spellStart"/>
      <w:r>
        <w:t>Kvarfordt</w:t>
      </w:r>
      <w:proofErr w:type="spellEnd"/>
      <w:r>
        <w:t>, C., &amp; Lynch, K. B. (2010). Personal digital assistants as cognitive aids for high school students with autism: results of a community-based trial.</w:t>
      </w:r>
    </w:p>
    <w:p w:rsidR="00AA583E" w:rsidRDefault="00605DCB">
      <w:r>
        <w:lastRenderedPageBreak/>
        <w:t>Journal of Vocational Rehabilitation, 32, 101–107.</w:t>
      </w:r>
    </w:p>
    <w:p w:rsidR="00AA583E" w:rsidRDefault="00605DCB">
      <w:r>
        <w:t>Glover, D., &amp; Miller, D. (2001). Running with Technology: the pedagogic impact of the large-scale introduction of interactive whiteboards in one secondary school. Technology,</w:t>
      </w:r>
    </w:p>
    <w:p w:rsidR="00AA583E" w:rsidRDefault="00605DCB">
      <w:r>
        <w:t>Pedagogy and Education, 10(3), 257–278.</w:t>
      </w:r>
    </w:p>
    <w:p w:rsidR="00AA583E" w:rsidRDefault="00605DCB">
      <w:proofErr w:type="spellStart"/>
      <w:r>
        <w:t>Hammersley</w:t>
      </w:r>
      <w:proofErr w:type="spellEnd"/>
      <w:r>
        <w:t>, M., &amp; Atkinson, P. (2007). Ethnography in practice (3rd ed.). London, UK: Routledge.</w:t>
      </w:r>
    </w:p>
    <w:p w:rsidR="00AA583E" w:rsidRDefault="00605DCB">
      <w:r>
        <w:t>HANDS Project. (2011). The HANDS project. Retrieved 28.12.11, from. www.hands-project.eu.</w:t>
      </w:r>
    </w:p>
    <w:p w:rsidR="00AA583E" w:rsidRDefault="00605DCB">
      <w:r>
        <w:t xml:space="preserve">Haskins, B. G., &amp; Silva, J. A. (2006). Asperger’s disorder and criminal </w:t>
      </w:r>
      <w:proofErr w:type="spellStart"/>
      <w:r>
        <w:t>behavior</w:t>
      </w:r>
      <w:proofErr w:type="spellEnd"/>
      <w:r>
        <w:t>: forensic psychiatric considerations. Journal of the American Academy of Psychiatry and the Law, 34, 374–384.</w:t>
      </w:r>
    </w:p>
    <w:p w:rsidR="00AA583E" w:rsidRDefault="00605DCB">
      <w:proofErr w:type="spellStart"/>
      <w:r>
        <w:t>Howlin</w:t>
      </w:r>
      <w:proofErr w:type="spellEnd"/>
      <w:r>
        <w:t>, P. (2004). Autism and Asperger Syndrome: Preparing for adulthood. London, UK: Routledge.</w:t>
      </w:r>
    </w:p>
    <w:p w:rsidR="00AA583E" w:rsidRDefault="00605DCB">
      <w:r>
        <w:t>Jason, J. T., &amp; Herring, J. E. (2005). Teacher influence in the classroom: a preliminary investigation of perceived instructor power, credibility, and student satisfaction.</w:t>
      </w:r>
    </w:p>
    <w:p w:rsidR="00AA583E" w:rsidRDefault="00605DCB">
      <w:r>
        <w:t>Communication Research Reports, 22(3), 235–246.</w:t>
      </w:r>
    </w:p>
    <w:p w:rsidR="00AA583E" w:rsidRDefault="00605DCB">
      <w:proofErr w:type="spellStart"/>
      <w:r>
        <w:t>Lindström</w:t>
      </w:r>
      <w:proofErr w:type="spellEnd"/>
      <w:r>
        <w:t>, J. (2007). Safe navigation with wireless technology. In P. R. W. Roe (Ed.), Towards and inclusive future: Impact and wider potential of information and communication technologies. Brussels: COST.</w:t>
      </w:r>
    </w:p>
    <w:p w:rsidR="00AA583E" w:rsidRDefault="00605DCB">
      <w:r>
        <w:t xml:space="preserve">Luna, B., Doll, S. K., </w:t>
      </w:r>
      <w:proofErr w:type="spellStart"/>
      <w:r>
        <w:t>Hegedus</w:t>
      </w:r>
      <w:proofErr w:type="spellEnd"/>
      <w:r>
        <w:t xml:space="preserve">, S. J., </w:t>
      </w:r>
      <w:proofErr w:type="spellStart"/>
      <w:r>
        <w:t>Minshew</w:t>
      </w:r>
      <w:proofErr w:type="spellEnd"/>
      <w:r>
        <w:t xml:space="preserve">, N. J., &amp; Sweeney, J. A. (2007). Maturation of executive function in autism. Biological Psychiatry, 61(4), 474–481. </w:t>
      </w:r>
      <w:hyperlink r:id="rId8">
        <w:r>
          <w:rPr>
            <w:color w:val="0563C1"/>
            <w:u w:val="single"/>
          </w:rPr>
          <w:t>http://dx.doi.org/</w:t>
        </w:r>
      </w:hyperlink>
      <w:r>
        <w:t xml:space="preserve"> 10.1016/j.biopsych.2006.02.030.</w:t>
      </w:r>
    </w:p>
    <w:p w:rsidR="00AA583E" w:rsidRDefault="00605DCB">
      <w:proofErr w:type="spellStart"/>
      <w:r>
        <w:t>Matzen</w:t>
      </w:r>
      <w:proofErr w:type="spellEnd"/>
      <w:r>
        <w:t>, N. J., &amp; Edmunds, J. A. (2007). Technology as a catalyst for change: the role of professional development. Journal of Research on Technology in Education, 39(4), 417–430.</w:t>
      </w:r>
    </w:p>
    <w:p w:rsidR="00AA583E" w:rsidRDefault="00605DCB">
      <w:r>
        <w:t>Mayes, S. D., &amp; Calhoun, S. L. (2007). Learning, attention, writing, and processing speed in typical children and children with ADHD, autism, anxiety, depression, and oppositional-defiant disorder. Child Neuropsychology: A Journal on Normal and Abnormal Development in Childhood and Adolescence, 13(6), 469–493.</w:t>
      </w:r>
    </w:p>
    <w:p w:rsidR="00AA583E" w:rsidRDefault="00605DCB">
      <w:proofErr w:type="spellStart"/>
      <w:r>
        <w:t>Mechling</w:t>
      </w:r>
      <w:proofErr w:type="spellEnd"/>
      <w:r>
        <w:t xml:space="preserve">, L. C., </w:t>
      </w:r>
      <w:proofErr w:type="spellStart"/>
      <w:r>
        <w:t>Gast</w:t>
      </w:r>
      <w:proofErr w:type="spellEnd"/>
      <w:r>
        <w:t xml:space="preserve">, D. L., &amp; </w:t>
      </w:r>
      <w:proofErr w:type="spellStart"/>
      <w:r>
        <w:t>Seid</w:t>
      </w:r>
      <w:proofErr w:type="spellEnd"/>
      <w:r>
        <w:t>, N. H. (2009). Using a personal digital assistant to increase independent task completion by students with autism spectrum disorder. Journal of Autism and Developmental Disorders, 39(10), 1420–1434. http://dx.doi.org/10.1007/s10803-009-0761-0.</w:t>
      </w:r>
    </w:p>
    <w:p w:rsidR="00AA583E" w:rsidRDefault="00605DCB">
      <w:proofErr w:type="spellStart"/>
      <w:r>
        <w:t>Meschtscherjakov</w:t>
      </w:r>
      <w:proofErr w:type="spellEnd"/>
      <w:r>
        <w:t>, A. (2009). Mobile attachment – Emotional attachment towards mobile devices and services. In The Proceedings of the 11th International Conference on human-computer interaction with mobile devices and services, Mobile HCI’09. Bonn, Germany.</w:t>
      </w:r>
    </w:p>
    <w:p w:rsidR="00AA583E" w:rsidRDefault="00605DCB">
      <w:r>
        <w:t>Miles, B., &amp; Huberman, N. (1994). Qualitative data analysis: An expanded sourcebook (2nd ed.). CA: Sage.</w:t>
      </w:r>
    </w:p>
    <w:p w:rsidR="00AA583E" w:rsidRDefault="00605DCB">
      <w:proofErr w:type="spellStart"/>
      <w:r>
        <w:t>Mintz</w:t>
      </w:r>
      <w:proofErr w:type="spellEnd"/>
      <w:r>
        <w:t xml:space="preserve">, J., Branch, C., March, C., &amp; </w:t>
      </w:r>
      <w:proofErr w:type="spellStart"/>
      <w:r>
        <w:t>Lerman</w:t>
      </w:r>
      <w:proofErr w:type="spellEnd"/>
      <w:r>
        <w:t>, S. (2012). Key factors mediating the use of a mobile technology tool designed to develop social and life skills in children with Autistic</w:t>
      </w:r>
    </w:p>
    <w:p w:rsidR="00AA583E" w:rsidRDefault="00605DCB">
      <w:r>
        <w:t>Spectrum Disorders. Computers &amp; Education, 58(1), 53–62.  http://dx.doi.org/10.1016/j.compedu.2011.07.013.</w:t>
      </w:r>
    </w:p>
    <w:p w:rsidR="00AA583E" w:rsidRDefault="00605DCB">
      <w:r>
        <w:lastRenderedPageBreak/>
        <w:t>Mitchell, P., Parsons, S., &amp; Leonard, A. (2007). Using virtual environments for teaching social understanding to 6 adolescents with autistic spectrum disorders. Journal of Autism and Development Disorders, 37(3), 589–600.</w:t>
      </w:r>
    </w:p>
    <w:p w:rsidR="00AA583E" w:rsidRDefault="00605DCB">
      <w:r>
        <w:t>Moore, D., &amp; Taylor, J. (2000). Interactive multimedia systems for students with autism. Journal of Educational Media, 25(3), 169–177.</w:t>
      </w:r>
    </w:p>
    <w:p w:rsidR="00AA583E" w:rsidRDefault="00605DCB">
      <w:proofErr w:type="spellStart"/>
      <w:r>
        <w:t>Ozonoff</w:t>
      </w:r>
      <w:proofErr w:type="spellEnd"/>
      <w:r>
        <w:t xml:space="preserve">, S., Pennington, </w:t>
      </w:r>
      <w:proofErr w:type="gramStart"/>
      <w:r>
        <w:t>F.,B.</w:t>
      </w:r>
      <w:proofErr w:type="gramEnd"/>
      <w:r>
        <w:t>, &amp; Rogers, J.,S. (1991). Executive function deficits in high-functioning autistic individuals: relationship to Theory of Mind. Journals of Child Psychology and Psychiatry, 32(7), 1081–1105.</w:t>
      </w:r>
    </w:p>
    <w:p w:rsidR="00AA583E" w:rsidRDefault="00605DCB">
      <w:r>
        <w:t xml:space="preserve">26 J. </w:t>
      </w:r>
      <w:proofErr w:type="spellStart"/>
      <w:r>
        <w:t>Mintz</w:t>
      </w:r>
      <w:proofErr w:type="spellEnd"/>
      <w:r>
        <w:t xml:space="preserve"> / Computers &amp; Education 63 (2013) 17–27</w:t>
      </w:r>
    </w:p>
    <w:p w:rsidR="00AA583E" w:rsidRDefault="00605DCB">
      <w:r>
        <w:t>Parsons, S., Mitchell, P., &amp; Leonard, A. (2004). The use and understanding of virtual environments by adolescents with autistic spectrum disorders. Journal of Autism and Development Disorders, 34(4), 449–466.</w:t>
      </w:r>
    </w:p>
    <w:p w:rsidR="00AA583E" w:rsidRDefault="00605DCB">
      <w:r>
        <w:t xml:space="preserve">Patterson, D., Liao, L., </w:t>
      </w:r>
      <w:proofErr w:type="spellStart"/>
      <w:r>
        <w:t>Gajos</w:t>
      </w:r>
      <w:proofErr w:type="spellEnd"/>
      <w:r>
        <w:t xml:space="preserve">, K., Collier, M., </w:t>
      </w:r>
      <w:proofErr w:type="spellStart"/>
      <w:r>
        <w:t>Livic</w:t>
      </w:r>
      <w:proofErr w:type="spellEnd"/>
      <w:r>
        <w:t xml:space="preserve">, N., Olson, K., et al. (2004). In N. Davies, E. D. </w:t>
      </w:r>
      <w:proofErr w:type="spellStart"/>
      <w:r>
        <w:t>Mynatt</w:t>
      </w:r>
      <w:proofErr w:type="spellEnd"/>
      <w:r>
        <w:t xml:space="preserve">, &amp; I. </w:t>
      </w:r>
      <w:proofErr w:type="spellStart"/>
      <w:r>
        <w:t>Siio</w:t>
      </w:r>
      <w:proofErr w:type="spellEnd"/>
      <w:r>
        <w:t xml:space="preserve"> (Eds.). </w:t>
      </w:r>
      <w:proofErr w:type="spellStart"/>
      <w:r>
        <w:t>UbiComp</w:t>
      </w:r>
      <w:proofErr w:type="spellEnd"/>
      <w:r>
        <w:t xml:space="preserve"> 2004: Ubiquitous computing, Vol. 3205 (pp. 433–450). Berlin, Heidelberg: Springer Berlin Heidelberg. http://dx.doi.org/10.1007/b99948.</w:t>
      </w:r>
    </w:p>
    <w:p w:rsidR="00AA583E" w:rsidRDefault="00605DCB">
      <w:proofErr w:type="spellStart"/>
      <w:r>
        <w:t>Ploug</w:t>
      </w:r>
      <w:proofErr w:type="spellEnd"/>
      <w:r>
        <w:t xml:space="preserve">, T., </w:t>
      </w:r>
      <w:proofErr w:type="spellStart"/>
      <w:r>
        <w:t>Hasle</w:t>
      </w:r>
      <w:proofErr w:type="spellEnd"/>
      <w:r>
        <w:t xml:space="preserve">, P., &amp; </w:t>
      </w:r>
      <w:proofErr w:type="spellStart"/>
      <w:r>
        <w:t>Oinas-Kukkonen</w:t>
      </w:r>
      <w:proofErr w:type="spellEnd"/>
      <w:r>
        <w:t>, H. (Eds.), (2010). Proceedings of the 5th international conference on persuasive technology. New York: Springer.</w:t>
      </w:r>
    </w:p>
    <w:p w:rsidR="00AA583E" w:rsidRDefault="00605DCB">
      <w:r>
        <w:t xml:space="preserve">Rayner, C., Denholm, C., &amp; </w:t>
      </w:r>
      <w:proofErr w:type="spellStart"/>
      <w:r>
        <w:t>Sigafoos</w:t>
      </w:r>
      <w:proofErr w:type="spellEnd"/>
      <w:r>
        <w:t>, J. (2009). Video-based intervention for individuals with autism: key questions that remain unanswered. Research in Autism Spectrum Disorders, 3(2), 291–303.</w:t>
      </w:r>
    </w:p>
    <w:p w:rsidR="00AA583E" w:rsidRDefault="00605DCB">
      <w:proofErr w:type="spellStart"/>
      <w:r>
        <w:t>Shea</w:t>
      </w:r>
      <w:proofErr w:type="spellEnd"/>
      <w:r>
        <w:t xml:space="preserve">, V., &amp; </w:t>
      </w:r>
      <w:proofErr w:type="spellStart"/>
      <w:r>
        <w:t>Mesibov</w:t>
      </w:r>
      <w:proofErr w:type="spellEnd"/>
      <w:r>
        <w:t xml:space="preserve">, G. (2005). Adolescents and adults with autism. In (3rd ed.). In F. R. </w:t>
      </w:r>
      <w:proofErr w:type="spellStart"/>
      <w:r>
        <w:t>Volkmar</w:t>
      </w:r>
      <w:proofErr w:type="spellEnd"/>
      <w:r>
        <w:t xml:space="preserve">, R. Paul, A. </w:t>
      </w:r>
      <w:proofErr w:type="spellStart"/>
      <w:r>
        <w:t>Klin</w:t>
      </w:r>
      <w:proofErr w:type="spellEnd"/>
      <w:r>
        <w:t>, &amp; D. Cohen (Eds.)., Handbook of autism and pervasive developmental disorders, Vol. 1 (pp. 288–311) Hoboken, NJ: Wiley.</w:t>
      </w:r>
    </w:p>
    <w:p w:rsidR="00AA583E" w:rsidRDefault="00605DCB">
      <w:proofErr w:type="spellStart"/>
      <w:r>
        <w:t>Tentori</w:t>
      </w:r>
      <w:proofErr w:type="spellEnd"/>
      <w:r>
        <w:t xml:space="preserve">, M., &amp; Hayes, G. (2010). Designing for interaction immediacy to enhance social skills of children with autism. In J. </w:t>
      </w:r>
      <w:proofErr w:type="spellStart"/>
      <w:r>
        <w:t>Bardram</w:t>
      </w:r>
      <w:proofErr w:type="spellEnd"/>
      <w:r>
        <w:t xml:space="preserve">, M. </w:t>
      </w:r>
      <w:proofErr w:type="spellStart"/>
      <w:r>
        <w:t>Langhenreich</w:t>
      </w:r>
      <w:proofErr w:type="spellEnd"/>
      <w:r>
        <w:t>, K. Truong, &amp; P. Nixon</w:t>
      </w:r>
    </w:p>
    <w:p w:rsidR="00AA583E" w:rsidRDefault="00605DCB">
      <w:r>
        <w:t xml:space="preserve">(Eds.), Proceedings of the 12th ACM international conference on ubiquitous computing (pp. 51–60). New York, NY: The ACM Press. </w:t>
      </w:r>
      <w:hyperlink r:id="rId9">
        <w:r>
          <w:rPr>
            <w:color w:val="0563C1"/>
            <w:u w:val="single"/>
          </w:rPr>
          <w:t>http://dx.doi.org/10.1145/</w:t>
        </w:r>
      </w:hyperlink>
      <w:r>
        <w:t xml:space="preserve"> 1864349.1864359.</w:t>
      </w:r>
    </w:p>
    <w:p w:rsidR="00AA583E" w:rsidRDefault="00605DCB">
      <w:proofErr w:type="spellStart"/>
      <w:r>
        <w:t>Thweatt</w:t>
      </w:r>
      <w:proofErr w:type="spellEnd"/>
      <w:r>
        <w:t xml:space="preserve">, K. S., &amp; </w:t>
      </w:r>
      <w:proofErr w:type="spellStart"/>
      <w:r>
        <w:t>McCroskey</w:t>
      </w:r>
      <w:proofErr w:type="spellEnd"/>
      <w:r>
        <w:t xml:space="preserve">, J. C. (1998). The impact of teacher immediacy and </w:t>
      </w:r>
      <w:proofErr w:type="spellStart"/>
      <w:r>
        <w:t>misbehaviors</w:t>
      </w:r>
      <w:proofErr w:type="spellEnd"/>
      <w:r>
        <w:t xml:space="preserve"> on teacher credibility. Communication Education, 47, 348–358.</w:t>
      </w:r>
    </w:p>
    <w:p w:rsidR="00AA583E" w:rsidRDefault="00605DCB">
      <w:proofErr w:type="spellStart"/>
      <w:r>
        <w:t>Volkmar</w:t>
      </w:r>
      <w:proofErr w:type="spellEnd"/>
      <w:r>
        <w:t>, F. R., Lord, C., Bailey, A., Schultz, R. T., &amp; Lin, A. (2004). Autism and pervasive developmental disorders. Journal of Child Psychology and Psychiatry, 45(1), 135–170.</w:t>
      </w:r>
    </w:p>
    <w:p w:rsidR="00AA583E" w:rsidRDefault="00605DCB">
      <w:proofErr w:type="spellStart"/>
      <w:r>
        <w:t>Wainer</w:t>
      </w:r>
      <w:proofErr w:type="spellEnd"/>
      <w:r>
        <w:t>, A. L., &amp; Ingersoll, R. (2010). The use of innovative computer technology for teaching social communication to individuals with autism spectrum disorders. Research in Autism Spectrum Disorders, 5, 96–107.</w:t>
      </w:r>
    </w:p>
    <w:p w:rsidR="00AA583E" w:rsidRDefault="00605DCB">
      <w:r>
        <w:t>Wallace, S., Parsons, S., Westbury, A., White, K., White, K., &amp; Bailey, A. (2010). Sense of presence and atypical social judgments in immersive virtual environments. Responses of adolescents with Autism Spectrum Disorders. Autism: The International Journal of Research and Practice, 14(3), 199–213. http://dx.doi.org/10.1177/1362361310363283.</w:t>
      </w:r>
    </w:p>
    <w:p w:rsidR="00AA583E" w:rsidRDefault="00605DCB">
      <w:r>
        <w:lastRenderedPageBreak/>
        <w:t>Wing, L., &amp; Gould, J. (1979). Severe impairments of social interaction and associated abnormalities in children: epidemiology and classification. Journal of Autism and Developmental Disorders, 9, 11–29.</w:t>
      </w:r>
    </w:p>
    <w:p w:rsidR="00AA583E" w:rsidRDefault="00605DCB">
      <w:r>
        <w:t>Yin, K. (1981). The case study crisis: some answers. Administrative Science Quarterly, 26, 58–65</w:t>
      </w:r>
    </w:p>
    <w:sectPr w:rsidR="00AA583E" w:rsidSect="00AA583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BA2" w:rsidRDefault="00FD3BA2" w:rsidP="00AA583E">
      <w:pPr>
        <w:spacing w:after="0" w:line="240" w:lineRule="auto"/>
      </w:pPr>
      <w:r>
        <w:separator/>
      </w:r>
    </w:p>
  </w:endnote>
  <w:endnote w:type="continuationSeparator" w:id="0">
    <w:p w:rsidR="00FD3BA2" w:rsidRDefault="00FD3BA2" w:rsidP="00AA5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83E" w:rsidRDefault="00AA583E">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83E" w:rsidRDefault="00AA583E">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83E" w:rsidRDefault="00AA583E">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BA2" w:rsidRDefault="00FD3BA2" w:rsidP="00AA583E">
      <w:pPr>
        <w:spacing w:after="0" w:line="240" w:lineRule="auto"/>
      </w:pPr>
      <w:r>
        <w:separator/>
      </w:r>
    </w:p>
  </w:footnote>
  <w:footnote w:type="continuationSeparator" w:id="0">
    <w:p w:rsidR="00FD3BA2" w:rsidRDefault="00FD3BA2" w:rsidP="00AA5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83E" w:rsidRDefault="00AA583E">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83E" w:rsidRDefault="00605DCB">
    <w:pPr>
      <w:pBdr>
        <w:top w:val="nil"/>
        <w:left w:val="nil"/>
        <w:bottom w:val="nil"/>
        <w:right w:val="nil"/>
        <w:between w:val="nil"/>
      </w:pBdr>
      <w:tabs>
        <w:tab w:val="center" w:pos="4536"/>
        <w:tab w:val="right" w:pos="9072"/>
      </w:tabs>
      <w:spacing w:after="0" w:line="240" w:lineRule="auto"/>
      <w:rPr>
        <w:color w:val="000000"/>
      </w:rPr>
    </w:pPr>
    <w:r>
      <w:rPr>
        <w:color w:val="000000"/>
      </w:rPr>
      <w:t xml:space="preserve">         </w:t>
    </w:r>
    <w:r>
      <w:rPr>
        <w:noProof/>
        <w:color w:val="000000"/>
        <w:lang w:val="en-US"/>
      </w:rPr>
      <w:drawing>
        <wp:inline distT="0" distB="0" distL="0" distR="0">
          <wp:extent cx="1353185" cy="7620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53185" cy="762000"/>
                  </a:xfrm>
                  <a:prstGeom prst="rect">
                    <a:avLst/>
                  </a:prstGeom>
                  <a:ln/>
                </pic:spPr>
              </pic:pic>
            </a:graphicData>
          </a:graphic>
        </wp:inline>
      </w:drawing>
    </w:r>
    <w:r>
      <w:rPr>
        <w:noProof/>
        <w:color w:val="000000"/>
        <w:lang w:val="en-US"/>
      </w:rPr>
      <w:drawing>
        <wp:inline distT="0" distB="0" distL="0" distR="0">
          <wp:extent cx="981075" cy="581025"/>
          <wp:effectExtent l="0" t="0" r="0" b="0"/>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981075" cy="581025"/>
                  </a:xfrm>
                  <a:prstGeom prst="rect">
                    <a:avLst/>
                  </a:prstGeom>
                  <a:ln/>
                </pic:spPr>
              </pic:pic>
            </a:graphicData>
          </a:graphic>
        </wp:inline>
      </w:drawing>
    </w:r>
    <w:r>
      <w:rPr>
        <w:noProof/>
        <w:color w:val="000000"/>
        <w:lang w:val="en-US"/>
      </w:rPr>
      <w:drawing>
        <wp:inline distT="0" distB="0" distL="0" distR="0">
          <wp:extent cx="2152015" cy="72517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2152015" cy="72517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83E" w:rsidRDefault="00AA583E">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83E"/>
    <w:rsid w:val="000138DB"/>
    <w:rsid w:val="000476DD"/>
    <w:rsid w:val="000827A2"/>
    <w:rsid w:val="000C10CC"/>
    <w:rsid w:val="000F5151"/>
    <w:rsid w:val="00130E1F"/>
    <w:rsid w:val="002757AB"/>
    <w:rsid w:val="002F4062"/>
    <w:rsid w:val="00302BF0"/>
    <w:rsid w:val="00331E1B"/>
    <w:rsid w:val="00340ABA"/>
    <w:rsid w:val="00387AC1"/>
    <w:rsid w:val="003D53EE"/>
    <w:rsid w:val="00404ACE"/>
    <w:rsid w:val="00574572"/>
    <w:rsid w:val="00584699"/>
    <w:rsid w:val="005F10CF"/>
    <w:rsid w:val="00605DCB"/>
    <w:rsid w:val="006132AE"/>
    <w:rsid w:val="006C5A55"/>
    <w:rsid w:val="006D0B9C"/>
    <w:rsid w:val="00700F85"/>
    <w:rsid w:val="00765397"/>
    <w:rsid w:val="00775B70"/>
    <w:rsid w:val="008649F4"/>
    <w:rsid w:val="008B72F1"/>
    <w:rsid w:val="00900A89"/>
    <w:rsid w:val="00975F1D"/>
    <w:rsid w:val="00981875"/>
    <w:rsid w:val="009B3BE8"/>
    <w:rsid w:val="00AA583E"/>
    <w:rsid w:val="00AB38C4"/>
    <w:rsid w:val="00AD2CA2"/>
    <w:rsid w:val="00AE0B5D"/>
    <w:rsid w:val="00B2249B"/>
    <w:rsid w:val="00BE0AD0"/>
    <w:rsid w:val="00C20FA8"/>
    <w:rsid w:val="00CE3C9F"/>
    <w:rsid w:val="00D2065B"/>
    <w:rsid w:val="00D25F95"/>
    <w:rsid w:val="00DF2BB3"/>
    <w:rsid w:val="00E16045"/>
    <w:rsid w:val="00ED635F"/>
    <w:rsid w:val="00F71BA5"/>
    <w:rsid w:val="00F91C59"/>
    <w:rsid w:val="00F91F6A"/>
    <w:rsid w:val="00FD3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BC8E"/>
  <w15:docId w15:val="{3348EED6-DBC0-4FDB-BD42-E9583FFB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83E"/>
  </w:style>
  <w:style w:type="paragraph" w:styleId="Heading1">
    <w:name w:val="heading 1"/>
    <w:basedOn w:val="Normal1"/>
    <w:next w:val="Normal1"/>
    <w:rsid w:val="00AA583E"/>
    <w:pPr>
      <w:keepNext/>
      <w:keepLines/>
      <w:spacing w:before="480" w:after="120"/>
      <w:outlineLvl w:val="0"/>
    </w:pPr>
    <w:rPr>
      <w:b/>
      <w:sz w:val="48"/>
      <w:szCs w:val="48"/>
    </w:rPr>
  </w:style>
  <w:style w:type="paragraph" w:styleId="Heading2">
    <w:name w:val="heading 2"/>
    <w:basedOn w:val="Normal1"/>
    <w:next w:val="Normal1"/>
    <w:rsid w:val="00AA583E"/>
    <w:pPr>
      <w:keepNext/>
      <w:keepLines/>
      <w:spacing w:before="360" w:after="80"/>
      <w:outlineLvl w:val="1"/>
    </w:pPr>
    <w:rPr>
      <w:b/>
      <w:sz w:val="36"/>
      <w:szCs w:val="36"/>
    </w:rPr>
  </w:style>
  <w:style w:type="paragraph" w:styleId="Heading3">
    <w:name w:val="heading 3"/>
    <w:basedOn w:val="Normal1"/>
    <w:next w:val="Normal1"/>
    <w:rsid w:val="00AA583E"/>
    <w:pPr>
      <w:keepNext/>
      <w:keepLines/>
      <w:spacing w:before="280" w:after="80"/>
      <w:outlineLvl w:val="2"/>
    </w:pPr>
    <w:rPr>
      <w:b/>
      <w:sz w:val="28"/>
      <w:szCs w:val="28"/>
    </w:rPr>
  </w:style>
  <w:style w:type="paragraph" w:styleId="Heading4">
    <w:name w:val="heading 4"/>
    <w:basedOn w:val="Normal1"/>
    <w:next w:val="Normal1"/>
    <w:rsid w:val="00AA583E"/>
    <w:pPr>
      <w:keepNext/>
      <w:keepLines/>
      <w:spacing w:before="240" w:after="40"/>
      <w:outlineLvl w:val="3"/>
    </w:pPr>
    <w:rPr>
      <w:b/>
      <w:sz w:val="24"/>
      <w:szCs w:val="24"/>
    </w:rPr>
  </w:style>
  <w:style w:type="paragraph" w:styleId="Heading5">
    <w:name w:val="heading 5"/>
    <w:basedOn w:val="Normal1"/>
    <w:next w:val="Normal1"/>
    <w:rsid w:val="00AA583E"/>
    <w:pPr>
      <w:keepNext/>
      <w:keepLines/>
      <w:spacing w:before="220" w:after="40"/>
      <w:outlineLvl w:val="4"/>
    </w:pPr>
    <w:rPr>
      <w:b/>
    </w:rPr>
  </w:style>
  <w:style w:type="paragraph" w:styleId="Heading6">
    <w:name w:val="heading 6"/>
    <w:basedOn w:val="Normal1"/>
    <w:next w:val="Normal1"/>
    <w:rsid w:val="00AA583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A583E"/>
  </w:style>
  <w:style w:type="paragraph" w:styleId="Title">
    <w:name w:val="Title"/>
    <w:basedOn w:val="Normal1"/>
    <w:next w:val="Normal1"/>
    <w:rsid w:val="00AA583E"/>
    <w:pPr>
      <w:keepNext/>
      <w:keepLines/>
      <w:spacing w:before="480" w:after="120"/>
    </w:pPr>
    <w:rPr>
      <w:b/>
      <w:sz w:val="72"/>
      <w:szCs w:val="72"/>
    </w:rPr>
  </w:style>
  <w:style w:type="paragraph" w:styleId="Header">
    <w:name w:val="header"/>
    <w:basedOn w:val="Normal"/>
    <w:link w:val="HeaderChar"/>
    <w:uiPriority w:val="99"/>
    <w:unhideWhenUsed/>
    <w:rsid w:val="00847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84765C"/>
  </w:style>
  <w:style w:type="paragraph" w:styleId="Footer">
    <w:name w:val="footer"/>
    <w:basedOn w:val="Normal"/>
    <w:link w:val="FooterChar"/>
    <w:uiPriority w:val="99"/>
    <w:unhideWhenUsed/>
    <w:rsid w:val="00847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65C"/>
  </w:style>
  <w:style w:type="character" w:styleId="Hyperlink">
    <w:name w:val="Hyperlink"/>
    <w:basedOn w:val="DefaultParagraphFont"/>
    <w:uiPriority w:val="99"/>
    <w:unhideWhenUsed/>
    <w:rsid w:val="00D205BB"/>
    <w:rPr>
      <w:color w:val="0563C1" w:themeColor="hyperlink"/>
      <w:u w:val="single"/>
    </w:rPr>
  </w:style>
  <w:style w:type="paragraph" w:styleId="Subtitle">
    <w:name w:val="Subtitle"/>
    <w:basedOn w:val="Normal"/>
    <w:next w:val="Normal"/>
    <w:rsid w:val="00AA583E"/>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F2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B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dx.doi.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urora-project.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x.doi.org/10.1145/"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3tPVLqYZ6Yp3HyiZEpusUsOmSA==">AMUW2mVKQAsiyoickH3aOOtUzeavXxQANwqfLGgZi57aeinUDVlyee4TrbS50dSBSe23OwP7O8LnJXweGAe3sXHMSUpdbJiIsx38JtKT0xL4gftiSdQH5RScyUGav69YkoHfohK0yi3N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3963</Words>
  <Characters>22591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2</cp:revision>
  <dcterms:created xsi:type="dcterms:W3CDTF">2022-07-05T09:00:00Z</dcterms:created>
  <dcterms:modified xsi:type="dcterms:W3CDTF">2022-07-05T09:00:00Z</dcterms:modified>
</cp:coreProperties>
</file>